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C483E" w14:textId="77777777" w:rsidR="00150249" w:rsidRPr="00150249" w:rsidRDefault="00150249" w:rsidP="00150249">
      <w:pPr>
        <w:jc w:val="center"/>
        <w:rPr>
          <w:rStyle w:val="Strong"/>
          <w:rFonts w:ascii="Arial" w:hAnsi="Arial" w:cs="Arial"/>
          <w:color w:val="333333"/>
          <w:sz w:val="32"/>
          <w:szCs w:val="32"/>
          <w:shd w:val="clear" w:color="auto" w:fill="FFFFFF"/>
        </w:rPr>
      </w:pPr>
      <w:r w:rsidRPr="00150249">
        <w:rPr>
          <w:rStyle w:val="Strong"/>
          <w:rFonts w:ascii="Arial" w:hAnsi="Arial" w:cs="Arial" w:hint="eastAsia"/>
          <w:color w:val="333333"/>
          <w:sz w:val="32"/>
          <w:szCs w:val="32"/>
          <w:shd w:val="clear" w:color="auto" w:fill="FFFFFF"/>
        </w:rPr>
        <w:t>3.15</w:t>
      </w:r>
      <w:r w:rsidRPr="00150249">
        <w:rPr>
          <w:rStyle w:val="Strong"/>
          <w:rFonts w:ascii="Arial" w:hAnsi="Arial" w:cs="Arial" w:hint="eastAsia"/>
          <w:color w:val="333333"/>
          <w:sz w:val="32"/>
          <w:szCs w:val="32"/>
          <w:shd w:val="clear" w:color="auto" w:fill="FFFFFF"/>
        </w:rPr>
        <w:t>保护投资者合法权益我们在行动</w:t>
      </w:r>
      <w:bookmarkStart w:id="0" w:name="_GoBack"/>
      <w:bookmarkEnd w:id="0"/>
    </w:p>
    <w:p w14:paraId="0E1C22DB" w14:textId="77777777" w:rsidR="00150249" w:rsidRDefault="00150249" w:rsidP="00B70939">
      <w:pPr>
        <w:rPr>
          <w:rStyle w:val="Strong"/>
          <w:rFonts w:ascii="Arial" w:hAnsi="Arial" w:cs="Arial"/>
          <w:color w:val="333333"/>
          <w:sz w:val="21"/>
          <w:szCs w:val="21"/>
          <w:shd w:val="clear" w:color="auto" w:fill="FFFFFF"/>
        </w:rPr>
      </w:pPr>
    </w:p>
    <w:p w14:paraId="6871E51A" w14:textId="77777777" w:rsidR="00774412" w:rsidRPr="00150249" w:rsidRDefault="00774412" w:rsidP="00B70939">
      <w:pPr>
        <w:pStyle w:val="ListParagraph"/>
        <w:numPr>
          <w:ilvl w:val="0"/>
          <w:numId w:val="20"/>
        </w:numPr>
        <w:rPr>
          <w:rStyle w:val="Strong"/>
          <w:rFonts w:ascii="Arial" w:hAnsi="Arial" w:cs="Arial"/>
          <w:color w:val="333333"/>
          <w:sz w:val="21"/>
          <w:szCs w:val="21"/>
          <w:shd w:val="clear" w:color="auto" w:fill="FFFFFF"/>
        </w:rPr>
      </w:pPr>
      <w:r w:rsidRPr="00150249">
        <w:rPr>
          <w:rStyle w:val="Strong"/>
          <w:rFonts w:ascii="Arial" w:hAnsi="Arial" w:cs="Arial"/>
          <w:color w:val="333333"/>
          <w:sz w:val="21"/>
          <w:szCs w:val="21"/>
          <w:shd w:val="clear" w:color="auto" w:fill="FFFFFF"/>
        </w:rPr>
        <w:t>关于进一步提高上市公司质量的意见</w:t>
      </w:r>
    </w:p>
    <w:p w14:paraId="746F0377" w14:textId="6149DBD6" w:rsidR="00774412" w:rsidRPr="00774412" w:rsidRDefault="00774412" w:rsidP="00774412">
      <w:pPr>
        <w:shd w:val="clear" w:color="auto" w:fill="FFFFFF"/>
        <w:spacing w:line="360" w:lineRule="atLeast"/>
        <w:ind w:firstLine="480"/>
        <w:rPr>
          <w:rFonts w:ascii="仿宋" w:eastAsia="仿宋" w:hAnsi="仿宋" w:cs="Arial"/>
          <w:color w:val="333333"/>
          <w:sz w:val="21"/>
          <w:szCs w:val="21"/>
        </w:rPr>
      </w:pPr>
      <w:r w:rsidRPr="00774412">
        <w:rPr>
          <w:rFonts w:ascii="仿宋" w:eastAsia="仿宋" w:hAnsi="仿宋" w:cs="Arial"/>
          <w:color w:val="333333"/>
          <w:sz w:val="21"/>
          <w:szCs w:val="21"/>
        </w:rPr>
        <w:t>一</w:t>
      </w:r>
      <w:r w:rsidR="00573493">
        <w:rPr>
          <w:rFonts w:ascii="仿宋" w:eastAsia="仿宋" w:hAnsi="仿宋" w:cs="Arial" w:hint="eastAsia"/>
          <w:color w:val="333333"/>
          <w:sz w:val="21"/>
          <w:szCs w:val="21"/>
        </w:rPr>
        <w:t>、</w:t>
      </w:r>
      <w:r w:rsidRPr="00774412">
        <w:rPr>
          <w:rFonts w:ascii="仿宋" w:eastAsia="仿宋" w:hAnsi="仿宋" w:cs="Arial"/>
          <w:color w:val="333333"/>
          <w:sz w:val="21"/>
          <w:szCs w:val="21"/>
        </w:rPr>
        <w:t>提高上市公司治理水平。</w:t>
      </w:r>
      <w:r w:rsidR="00E468B2" w:rsidRPr="00E468B2">
        <w:rPr>
          <w:rFonts w:ascii="仿宋" w:eastAsia="仿宋" w:hAnsi="仿宋" w:cs="Arial" w:hint="eastAsia"/>
          <w:color w:val="333333"/>
          <w:sz w:val="21"/>
          <w:szCs w:val="21"/>
        </w:rPr>
        <w:t>规范公司治理和内部控制</w:t>
      </w:r>
      <w:r w:rsidR="00E468B2">
        <w:rPr>
          <w:rFonts w:ascii="仿宋" w:eastAsia="仿宋" w:hAnsi="仿宋" w:cs="Arial" w:hint="eastAsia"/>
          <w:color w:val="333333"/>
          <w:sz w:val="21"/>
          <w:szCs w:val="21"/>
        </w:rPr>
        <w:t>。</w:t>
      </w:r>
      <w:r w:rsidRPr="00774412">
        <w:rPr>
          <w:rFonts w:ascii="仿宋" w:eastAsia="仿宋" w:hAnsi="仿宋" w:cs="Arial"/>
          <w:color w:val="333333"/>
          <w:sz w:val="21"/>
          <w:szCs w:val="21"/>
        </w:rPr>
        <w:t>完善公司治理制度规则，明确控股股东、实际控制人、董事、监事和高级管理人员的职责界限和法律责任，健全机构投资者参与公司治理的渠道和方式，加快推行内控规范体系，强化上市公司治理底线要求，切实提高公司治理水平。</w:t>
      </w:r>
      <w:r w:rsidR="00E468B2">
        <w:rPr>
          <w:rFonts w:ascii="仿宋" w:eastAsia="仿宋" w:hAnsi="仿宋" w:cs="Arial" w:hint="eastAsia"/>
          <w:color w:val="333333"/>
          <w:sz w:val="21"/>
          <w:szCs w:val="21"/>
        </w:rPr>
        <w:t>提升</w:t>
      </w:r>
      <w:r w:rsidRPr="00774412">
        <w:rPr>
          <w:rFonts w:ascii="仿宋" w:eastAsia="仿宋" w:hAnsi="仿宋" w:cs="Arial"/>
          <w:color w:val="333333"/>
          <w:sz w:val="21"/>
          <w:szCs w:val="21"/>
        </w:rPr>
        <w:t>信息披露标准，增强信息披露针对性和有效性。</w:t>
      </w:r>
    </w:p>
    <w:p w14:paraId="61E4D115" w14:textId="479CC554" w:rsidR="00774412" w:rsidRPr="00774412" w:rsidRDefault="00774412" w:rsidP="00774412">
      <w:pPr>
        <w:shd w:val="clear" w:color="auto" w:fill="FFFFFF"/>
        <w:spacing w:line="360" w:lineRule="atLeast"/>
        <w:ind w:firstLine="480"/>
        <w:rPr>
          <w:rFonts w:ascii="仿宋" w:eastAsia="仿宋" w:hAnsi="仿宋" w:cs="Arial"/>
          <w:color w:val="333333"/>
          <w:sz w:val="21"/>
          <w:szCs w:val="21"/>
        </w:rPr>
      </w:pPr>
      <w:r w:rsidRPr="00774412">
        <w:rPr>
          <w:rFonts w:ascii="仿宋" w:eastAsia="仿宋" w:hAnsi="仿宋" w:cs="Arial"/>
          <w:color w:val="333333"/>
          <w:sz w:val="21"/>
          <w:szCs w:val="21"/>
        </w:rPr>
        <w:t>二</w:t>
      </w:r>
      <w:r w:rsidR="00573493">
        <w:rPr>
          <w:rFonts w:ascii="仿宋" w:eastAsia="仿宋" w:hAnsi="仿宋" w:cs="Arial" w:hint="eastAsia"/>
          <w:color w:val="333333"/>
          <w:sz w:val="21"/>
          <w:szCs w:val="21"/>
        </w:rPr>
        <w:t>、</w:t>
      </w:r>
      <w:r w:rsidRPr="00774412">
        <w:rPr>
          <w:rFonts w:ascii="仿宋" w:eastAsia="仿宋" w:hAnsi="仿宋" w:cs="Arial"/>
          <w:color w:val="333333"/>
          <w:sz w:val="21"/>
          <w:szCs w:val="21"/>
        </w:rPr>
        <w:t>推动上市公司做优做强。</w:t>
      </w:r>
      <w:r w:rsidR="00E468B2" w:rsidRPr="00E468B2">
        <w:rPr>
          <w:rFonts w:ascii="仿宋" w:eastAsia="仿宋" w:hAnsi="仿宋" w:cs="Arial" w:hint="eastAsia"/>
          <w:color w:val="333333"/>
          <w:sz w:val="21"/>
          <w:szCs w:val="21"/>
        </w:rPr>
        <w:t>支持优质企业上市</w:t>
      </w:r>
      <w:r w:rsidR="00E468B2">
        <w:rPr>
          <w:rFonts w:ascii="仿宋" w:eastAsia="仿宋" w:hAnsi="仿宋" w:cs="Arial" w:hint="eastAsia"/>
          <w:color w:val="333333"/>
          <w:sz w:val="21"/>
          <w:szCs w:val="21"/>
        </w:rPr>
        <w:t>。</w:t>
      </w:r>
      <w:r w:rsidR="00E468B2">
        <w:rPr>
          <w:rFonts w:ascii="仿宋" w:eastAsia="仿宋" w:hAnsi="仿宋" w:cs="Arial"/>
          <w:color w:val="333333"/>
          <w:sz w:val="21"/>
          <w:szCs w:val="21"/>
        </w:rPr>
        <w:t>全面推行、分步实施证券发行注册制</w:t>
      </w:r>
      <w:r w:rsidRPr="00774412">
        <w:rPr>
          <w:rFonts w:ascii="仿宋" w:eastAsia="仿宋" w:hAnsi="仿宋" w:cs="Arial"/>
          <w:color w:val="333333"/>
          <w:sz w:val="21"/>
          <w:szCs w:val="21"/>
        </w:rPr>
        <w:t>。</w:t>
      </w:r>
      <w:r w:rsidR="00E468B2" w:rsidRPr="00E468B2">
        <w:rPr>
          <w:rFonts w:ascii="仿宋" w:eastAsia="仿宋" w:hAnsi="仿宋" w:cs="Arial" w:hint="eastAsia"/>
          <w:color w:val="333333"/>
          <w:sz w:val="21"/>
          <w:szCs w:val="21"/>
        </w:rPr>
        <w:t>完善上市公司融资制度。加强资本市场融资端和投</w:t>
      </w:r>
      <w:r w:rsidR="00E468B2">
        <w:rPr>
          <w:rFonts w:ascii="仿宋" w:eastAsia="仿宋" w:hAnsi="仿宋" w:cs="Arial" w:hint="eastAsia"/>
          <w:color w:val="333333"/>
          <w:sz w:val="21"/>
          <w:szCs w:val="21"/>
        </w:rPr>
        <w:t>资端的协调平衡，引导上市公司兼顾发展需要和市场状况优化融资安排</w:t>
      </w:r>
      <w:r w:rsidRPr="00774412">
        <w:rPr>
          <w:rFonts w:ascii="仿宋" w:eastAsia="仿宋" w:hAnsi="仿宋" w:cs="Arial"/>
          <w:color w:val="333333"/>
          <w:sz w:val="21"/>
          <w:szCs w:val="21"/>
        </w:rPr>
        <w:t>。探索建立对机构投资者的长周期考核机制，吸引更多中长期资金入市。健全激励约束机制。</w:t>
      </w:r>
    </w:p>
    <w:p w14:paraId="50BDA2A9" w14:textId="3EF7D7C7" w:rsidR="00E468B2" w:rsidRDefault="00774412" w:rsidP="00774412">
      <w:pPr>
        <w:shd w:val="clear" w:color="auto" w:fill="FFFFFF"/>
        <w:spacing w:line="360" w:lineRule="atLeast"/>
        <w:ind w:firstLine="480"/>
        <w:rPr>
          <w:rFonts w:ascii="仿宋" w:eastAsia="仿宋" w:hAnsi="仿宋" w:cs="Arial"/>
          <w:color w:val="333333"/>
          <w:sz w:val="21"/>
          <w:szCs w:val="21"/>
        </w:rPr>
      </w:pPr>
      <w:r w:rsidRPr="00774412">
        <w:rPr>
          <w:rFonts w:ascii="仿宋" w:eastAsia="仿宋" w:hAnsi="仿宋" w:cs="Arial"/>
          <w:color w:val="333333"/>
          <w:sz w:val="21"/>
          <w:szCs w:val="21"/>
        </w:rPr>
        <w:t>三</w:t>
      </w:r>
      <w:r w:rsidR="00573493">
        <w:rPr>
          <w:rFonts w:ascii="仿宋" w:eastAsia="仿宋" w:hAnsi="仿宋" w:cs="Arial" w:hint="eastAsia"/>
          <w:color w:val="333333"/>
          <w:sz w:val="21"/>
          <w:szCs w:val="21"/>
        </w:rPr>
        <w:t>、</w:t>
      </w:r>
      <w:r w:rsidRPr="00774412">
        <w:rPr>
          <w:rFonts w:ascii="仿宋" w:eastAsia="仿宋" w:hAnsi="仿宋" w:cs="Arial"/>
          <w:color w:val="333333"/>
          <w:sz w:val="21"/>
          <w:szCs w:val="21"/>
        </w:rPr>
        <w:t>健全上市公司退出机制。严格退市监管，完善退市标准，简化退市程序，</w:t>
      </w:r>
      <w:r w:rsidR="00E468B2" w:rsidRPr="00E468B2">
        <w:rPr>
          <w:rFonts w:ascii="仿宋" w:eastAsia="仿宋" w:hAnsi="仿宋" w:cs="Arial" w:hint="eastAsia"/>
          <w:color w:val="333333"/>
          <w:sz w:val="21"/>
          <w:szCs w:val="21"/>
        </w:rPr>
        <w:t>加大对违法违规主体的责任追究力度。支持投资者依法维权，保护投资者合法权益。拓宽多元化退出渠道。完善并购重组和破产重整等制度</w:t>
      </w:r>
      <w:r w:rsidR="00E468B2">
        <w:rPr>
          <w:rFonts w:ascii="仿宋" w:eastAsia="仿宋" w:hAnsi="仿宋" w:cs="Arial" w:hint="eastAsia"/>
          <w:color w:val="333333"/>
          <w:sz w:val="21"/>
          <w:szCs w:val="21"/>
        </w:rPr>
        <w:t>。</w:t>
      </w:r>
      <w:r w:rsidR="00E468B2" w:rsidRPr="00E468B2">
        <w:rPr>
          <w:rFonts w:ascii="仿宋" w:eastAsia="仿宋" w:hAnsi="仿宋" w:cs="Arial" w:hint="eastAsia"/>
          <w:color w:val="333333"/>
          <w:sz w:val="21"/>
          <w:szCs w:val="21"/>
        </w:rPr>
        <w:t>支持上市公司通过并购重组、破产重整等方式出清风险。</w:t>
      </w:r>
    </w:p>
    <w:p w14:paraId="0C91E8AE" w14:textId="770F99FF" w:rsidR="00774412" w:rsidRPr="00774412" w:rsidRDefault="00774412" w:rsidP="00774412">
      <w:pPr>
        <w:shd w:val="clear" w:color="auto" w:fill="FFFFFF"/>
        <w:spacing w:line="360" w:lineRule="atLeast"/>
        <w:ind w:firstLine="480"/>
        <w:rPr>
          <w:rFonts w:ascii="仿宋" w:eastAsia="仿宋" w:hAnsi="仿宋" w:cs="Arial"/>
          <w:color w:val="333333"/>
          <w:sz w:val="21"/>
          <w:szCs w:val="21"/>
        </w:rPr>
      </w:pPr>
      <w:r w:rsidRPr="00774412">
        <w:rPr>
          <w:rFonts w:ascii="仿宋" w:eastAsia="仿宋" w:hAnsi="仿宋" w:cs="Arial"/>
          <w:color w:val="333333"/>
          <w:sz w:val="21"/>
          <w:szCs w:val="21"/>
        </w:rPr>
        <w:t>四</w:t>
      </w:r>
      <w:r w:rsidR="00573493">
        <w:rPr>
          <w:rFonts w:ascii="仿宋" w:eastAsia="仿宋" w:hAnsi="仿宋" w:cs="Arial" w:hint="eastAsia"/>
          <w:color w:val="333333"/>
          <w:sz w:val="21"/>
          <w:szCs w:val="21"/>
        </w:rPr>
        <w:t>、</w:t>
      </w:r>
      <w:r w:rsidRPr="00774412">
        <w:rPr>
          <w:rFonts w:ascii="仿宋" w:eastAsia="仿宋" w:hAnsi="仿宋" w:cs="Arial"/>
          <w:color w:val="333333"/>
          <w:sz w:val="21"/>
          <w:szCs w:val="21"/>
        </w:rPr>
        <w:t>解决上市公司突出问题。积极稳妥化解上市公司股票质押风险，坚持控制增量、化解存量，强化场内外一致性监管。</w:t>
      </w:r>
      <w:r w:rsidR="001D5E39" w:rsidRPr="001D5E39">
        <w:rPr>
          <w:rFonts w:ascii="仿宋" w:eastAsia="仿宋" w:hAnsi="仿宋" w:cs="Arial" w:hint="eastAsia"/>
          <w:color w:val="333333"/>
          <w:sz w:val="21"/>
          <w:szCs w:val="21"/>
        </w:rPr>
        <w:t>严肃处置资金占用、违规担保问题。</w:t>
      </w:r>
      <w:r w:rsidRPr="00774412">
        <w:rPr>
          <w:rFonts w:ascii="仿宋" w:eastAsia="仿宋" w:hAnsi="仿宋" w:cs="Arial"/>
          <w:color w:val="333333"/>
          <w:sz w:val="21"/>
          <w:szCs w:val="21"/>
        </w:rPr>
        <w:t>对已形成的资金占用、违规担保问题，要限期予以清偿或化解。强化应对重大突发事件政策支持。</w:t>
      </w:r>
    </w:p>
    <w:p w14:paraId="54980B8A" w14:textId="77777777" w:rsidR="00774412" w:rsidRPr="00774412" w:rsidRDefault="00774412" w:rsidP="00774412">
      <w:pPr>
        <w:shd w:val="clear" w:color="auto" w:fill="FFFFFF"/>
        <w:spacing w:line="360" w:lineRule="atLeast"/>
        <w:ind w:firstLine="480"/>
        <w:rPr>
          <w:rFonts w:ascii="仿宋" w:eastAsia="仿宋" w:hAnsi="仿宋" w:cs="Arial"/>
          <w:color w:val="333333"/>
          <w:sz w:val="21"/>
          <w:szCs w:val="21"/>
        </w:rPr>
      </w:pPr>
      <w:r w:rsidRPr="00774412">
        <w:rPr>
          <w:rFonts w:ascii="仿宋" w:eastAsia="仿宋" w:hAnsi="仿宋" w:cs="Arial"/>
          <w:color w:val="333333"/>
          <w:sz w:val="21"/>
          <w:szCs w:val="21"/>
        </w:rPr>
        <w:t>五</w:t>
      </w:r>
      <w:r w:rsidR="00573493">
        <w:rPr>
          <w:rFonts w:ascii="仿宋" w:eastAsia="仿宋" w:hAnsi="仿宋" w:cs="Arial" w:hint="eastAsia"/>
          <w:color w:val="333333"/>
          <w:sz w:val="21"/>
          <w:szCs w:val="21"/>
        </w:rPr>
        <w:t>、</w:t>
      </w:r>
      <w:r w:rsidRPr="00774412">
        <w:rPr>
          <w:rFonts w:ascii="仿宋" w:eastAsia="仿宋" w:hAnsi="仿宋" w:cs="Arial"/>
          <w:color w:val="333333"/>
          <w:sz w:val="21"/>
          <w:szCs w:val="21"/>
        </w:rPr>
        <w:t>提高上市公司及相关主体违法违规成本。加大对欺诈发行、信息披露违法、操纵市场、内幕交易等违法违规行为的处罚力度。推动增加法制供给，加重财务造假、资金占用等违法违规行为的行政、刑事法律责任，完善证券民事诉讼和赔偿制度，支持投资者保护机构依法作为代表人参加诉讼。</w:t>
      </w:r>
    </w:p>
    <w:p w14:paraId="51D2A5A7" w14:textId="53AB6E6F" w:rsidR="00150249" w:rsidRDefault="00774412" w:rsidP="00B90776">
      <w:pPr>
        <w:shd w:val="clear" w:color="auto" w:fill="FFFFFF"/>
        <w:spacing w:line="360" w:lineRule="atLeast"/>
        <w:ind w:firstLine="480"/>
        <w:rPr>
          <w:rFonts w:ascii="仿宋" w:eastAsia="仿宋" w:hAnsi="仿宋" w:cs="Arial"/>
          <w:color w:val="333333"/>
          <w:sz w:val="21"/>
          <w:szCs w:val="21"/>
        </w:rPr>
      </w:pPr>
      <w:r w:rsidRPr="00774412">
        <w:rPr>
          <w:rFonts w:ascii="仿宋" w:eastAsia="仿宋" w:hAnsi="仿宋" w:cs="Arial"/>
          <w:color w:val="333333"/>
          <w:sz w:val="21"/>
          <w:szCs w:val="21"/>
        </w:rPr>
        <w:t>六</w:t>
      </w:r>
      <w:r w:rsidR="00573493">
        <w:rPr>
          <w:rFonts w:ascii="仿宋" w:eastAsia="仿宋" w:hAnsi="仿宋" w:cs="Arial" w:hint="eastAsia"/>
          <w:color w:val="333333"/>
          <w:sz w:val="21"/>
          <w:szCs w:val="21"/>
        </w:rPr>
        <w:t>、</w:t>
      </w:r>
      <w:r w:rsidRPr="00774412">
        <w:rPr>
          <w:rFonts w:ascii="仿宋" w:eastAsia="仿宋" w:hAnsi="仿宋" w:cs="Arial"/>
          <w:color w:val="333333"/>
          <w:sz w:val="21"/>
          <w:szCs w:val="21"/>
        </w:rPr>
        <w:t>形成提高上市公司质量的工作合力。持续提升监管效能</w:t>
      </w:r>
      <w:r w:rsidR="001D5E39">
        <w:rPr>
          <w:rFonts w:ascii="仿宋" w:eastAsia="仿宋" w:hAnsi="仿宋" w:cs="Arial" w:hint="eastAsia"/>
          <w:color w:val="333333"/>
          <w:sz w:val="21"/>
          <w:szCs w:val="21"/>
        </w:rPr>
        <w:t>。</w:t>
      </w:r>
      <w:r w:rsidRPr="00774412">
        <w:rPr>
          <w:rFonts w:ascii="仿宋" w:eastAsia="仿宋" w:hAnsi="仿宋" w:cs="Arial"/>
          <w:color w:val="333333"/>
          <w:sz w:val="21"/>
          <w:szCs w:val="21"/>
        </w:rPr>
        <w:t>强化上市公司主体责任</w:t>
      </w:r>
      <w:r w:rsidR="001D5E39">
        <w:rPr>
          <w:rFonts w:ascii="仿宋" w:eastAsia="仿宋" w:hAnsi="仿宋" w:cs="Arial" w:hint="eastAsia"/>
          <w:color w:val="333333"/>
          <w:sz w:val="21"/>
          <w:szCs w:val="21"/>
        </w:rPr>
        <w:t>。</w:t>
      </w:r>
      <w:r w:rsidR="001D5E39" w:rsidRPr="001D5E39">
        <w:rPr>
          <w:rFonts w:ascii="仿宋" w:eastAsia="仿宋" w:hAnsi="仿宋" w:cs="Arial" w:hint="eastAsia"/>
          <w:color w:val="333333"/>
          <w:sz w:val="21"/>
          <w:szCs w:val="21"/>
        </w:rPr>
        <w:t>督促中介机构归位尽责。</w:t>
      </w:r>
      <w:r w:rsidRPr="00774412">
        <w:rPr>
          <w:rFonts w:ascii="仿宋" w:eastAsia="仿宋" w:hAnsi="仿宋" w:cs="Arial"/>
          <w:color w:val="333333"/>
          <w:sz w:val="21"/>
          <w:szCs w:val="21"/>
        </w:rPr>
        <w:t>完善上市公司综合监管体系，建立健全信息共享机制，共同营造支持上市公司高质量发展的良好环境。</w:t>
      </w:r>
    </w:p>
    <w:p w14:paraId="1929DC86" w14:textId="77777777" w:rsidR="00774412" w:rsidRDefault="00774412" w:rsidP="00B70939">
      <w:pPr>
        <w:shd w:val="clear" w:color="auto" w:fill="FFFFFF"/>
        <w:spacing w:line="360" w:lineRule="atLeast"/>
        <w:rPr>
          <w:rFonts w:ascii="仿宋" w:eastAsia="仿宋" w:hAnsi="仿宋" w:cs="Arial"/>
          <w:color w:val="333333"/>
          <w:sz w:val="21"/>
          <w:szCs w:val="21"/>
        </w:rPr>
      </w:pPr>
    </w:p>
    <w:p w14:paraId="75FDC6E2" w14:textId="77777777" w:rsidR="00774412" w:rsidRPr="00573493" w:rsidRDefault="00573493" w:rsidP="00573493">
      <w:pPr>
        <w:pStyle w:val="ListParagraph"/>
        <w:numPr>
          <w:ilvl w:val="0"/>
          <w:numId w:val="20"/>
        </w:numPr>
        <w:rPr>
          <w:rStyle w:val="Strong"/>
          <w:rFonts w:ascii="Arial" w:hAnsi="Arial" w:cs="Arial"/>
          <w:color w:val="333333"/>
          <w:sz w:val="21"/>
          <w:szCs w:val="21"/>
          <w:shd w:val="clear" w:color="auto" w:fill="FFFFFF"/>
        </w:rPr>
      </w:pPr>
      <w:r>
        <w:rPr>
          <w:rStyle w:val="Strong"/>
          <w:rFonts w:ascii="Arial" w:hAnsi="Arial" w:cs="Arial" w:hint="eastAsia"/>
          <w:color w:val="333333"/>
          <w:sz w:val="21"/>
          <w:szCs w:val="21"/>
          <w:shd w:val="clear" w:color="auto" w:fill="FFFFFF"/>
        </w:rPr>
        <w:t>退市新规</w:t>
      </w:r>
      <w:r w:rsidR="00774412" w:rsidRPr="00573493">
        <w:rPr>
          <w:rStyle w:val="Strong"/>
          <w:rFonts w:ascii="Arial" w:hAnsi="Arial" w:cs="Arial" w:hint="eastAsia"/>
          <w:color w:val="333333"/>
          <w:sz w:val="21"/>
          <w:szCs w:val="21"/>
          <w:shd w:val="clear" w:color="auto" w:fill="FFFFFF"/>
        </w:rPr>
        <w:t>主要修订点如下：</w:t>
      </w:r>
    </w:p>
    <w:p w14:paraId="23C3D3E0" w14:textId="77777777" w:rsidR="00774412" w:rsidRPr="00774412" w:rsidRDefault="00774412" w:rsidP="00774412">
      <w:pPr>
        <w:rPr>
          <w:rFonts w:ascii="仿宋" w:eastAsia="仿宋" w:hAnsi="仿宋"/>
        </w:rPr>
      </w:pPr>
    </w:p>
    <w:p w14:paraId="25246F44" w14:textId="257DE8F9" w:rsidR="0022074C" w:rsidRPr="0022074C" w:rsidRDefault="0022074C" w:rsidP="0022074C">
      <w:pPr>
        <w:shd w:val="clear" w:color="auto" w:fill="FFFFFF"/>
        <w:spacing w:line="360" w:lineRule="atLeast"/>
        <w:ind w:firstLine="480"/>
        <w:rPr>
          <w:rFonts w:ascii="仿宋" w:eastAsia="仿宋" w:hAnsi="仿宋"/>
        </w:rPr>
      </w:pPr>
      <w:r w:rsidRPr="0022074C">
        <w:rPr>
          <w:rFonts w:ascii="仿宋" w:eastAsia="仿宋" w:hAnsi="仿宋" w:hint="eastAsia"/>
        </w:rPr>
        <w:t>2020年3月，新证券法正式施行，删除暂停上市、终止上市相关规定，围绕新一轮退市制度改革，2020年12月31日，沪深交易所正式发布新修订的上市规则等配套规则，对退市指标、退市流程、风险警示情形及退市相关交易安排等进一步完善优化，引导形成“有进有退、进退有序”良好市场生态。以下为退市新规修订要点：</w:t>
      </w:r>
    </w:p>
    <w:p w14:paraId="00B9DA8C" w14:textId="2EE7CA6E" w:rsidR="00B2605B" w:rsidRDefault="0022074C" w:rsidP="0022074C">
      <w:pPr>
        <w:shd w:val="clear" w:color="auto" w:fill="FFFFFF"/>
        <w:spacing w:line="360" w:lineRule="atLeast"/>
        <w:ind w:firstLine="480"/>
        <w:rPr>
          <w:rFonts w:ascii="仿宋" w:eastAsia="仿宋" w:hAnsi="仿宋"/>
        </w:rPr>
      </w:pPr>
      <w:r w:rsidRPr="0022074C">
        <w:rPr>
          <w:rFonts w:ascii="仿宋" w:eastAsia="仿宋" w:hAnsi="仿宋" w:hint="eastAsia"/>
        </w:rPr>
        <w:t>一是财务类指标方面，取消了原来单一的净利润、营业收入指标，新增扣非前后净利润孰低者为负且营业收入低于人民币1亿元的组合财务指标，同时对因财务类指标被实施退市风险警示的公司，下一年度财务类指标进行交叉适用；</w:t>
      </w:r>
    </w:p>
    <w:p w14:paraId="0D4DA812" w14:textId="7FBAEE7C" w:rsidR="0022074C" w:rsidRDefault="0022074C" w:rsidP="0022074C">
      <w:pPr>
        <w:shd w:val="clear" w:color="auto" w:fill="FFFFFF"/>
        <w:spacing w:line="360" w:lineRule="atLeast"/>
        <w:ind w:firstLine="480"/>
        <w:rPr>
          <w:rFonts w:ascii="仿宋" w:eastAsia="仿宋" w:hAnsi="仿宋"/>
        </w:rPr>
      </w:pPr>
      <w:r w:rsidRPr="0022074C">
        <w:rPr>
          <w:rFonts w:ascii="仿宋" w:eastAsia="仿宋" w:hAnsi="仿宋" w:hint="eastAsia"/>
        </w:rPr>
        <w:t>二是交易类指标方面，将原来的面值退市指标修改为“1元退市”指标，同时新增“连续20个交易日在本所的每日股票收盘总市值均低于人民币3亿元”的市值指标；</w:t>
      </w:r>
    </w:p>
    <w:p w14:paraId="415BF838" w14:textId="43CEFDF6" w:rsidR="0022074C" w:rsidRDefault="0022074C" w:rsidP="0022074C">
      <w:pPr>
        <w:shd w:val="clear" w:color="auto" w:fill="FFFFFF"/>
        <w:spacing w:line="360" w:lineRule="atLeast"/>
        <w:ind w:firstLine="480"/>
        <w:rPr>
          <w:rFonts w:ascii="仿宋" w:eastAsia="仿宋" w:hAnsi="仿宋"/>
        </w:rPr>
      </w:pPr>
      <w:r w:rsidRPr="0022074C">
        <w:rPr>
          <w:rFonts w:ascii="仿宋" w:eastAsia="仿宋" w:hAnsi="仿宋" w:hint="eastAsia"/>
        </w:rPr>
        <w:t>三是规范类指标方面，新增信息披露、规范运作存在重大缺陷且拒不改正和半数以上董事对于半年报或年报不保真且限期内不改正两类情形，并细化具体标准；</w:t>
      </w:r>
    </w:p>
    <w:p w14:paraId="76F1A347" w14:textId="46D9DAEB" w:rsidR="0022074C" w:rsidRDefault="0022074C" w:rsidP="0022074C">
      <w:pPr>
        <w:shd w:val="clear" w:color="auto" w:fill="FFFFFF"/>
        <w:spacing w:line="360" w:lineRule="atLeast"/>
        <w:ind w:firstLine="480"/>
        <w:rPr>
          <w:rFonts w:ascii="仿宋" w:eastAsia="仿宋" w:hAnsi="仿宋"/>
        </w:rPr>
      </w:pPr>
      <w:r w:rsidRPr="0022074C">
        <w:rPr>
          <w:rFonts w:ascii="仿宋" w:eastAsia="仿宋" w:hAnsi="仿宋" w:hint="eastAsia"/>
        </w:rPr>
        <w:t>四是重大违法类指标方面，在保留原欺诈发行、欺诈重组上市、根据行政处罚认定的事实公司实际财务指标已经触及退市标准的条款的基础上，进一步增加并明确重大财务造假退市量化标准。</w:t>
      </w:r>
    </w:p>
    <w:p w14:paraId="2D37EED6" w14:textId="77777777" w:rsidR="0022074C" w:rsidRDefault="0022074C" w:rsidP="0022074C">
      <w:pPr>
        <w:shd w:val="clear" w:color="auto" w:fill="FFFFFF"/>
        <w:spacing w:line="360" w:lineRule="atLeast"/>
        <w:ind w:firstLine="480"/>
        <w:rPr>
          <w:rFonts w:ascii="仿宋" w:eastAsia="仿宋" w:hAnsi="仿宋"/>
        </w:rPr>
      </w:pPr>
      <w:r>
        <w:rPr>
          <w:rFonts w:ascii="仿宋" w:eastAsia="仿宋" w:hAnsi="仿宋" w:hint="eastAsia"/>
        </w:rPr>
        <w:lastRenderedPageBreak/>
        <w:t>在</w:t>
      </w:r>
      <w:r w:rsidRPr="0022074C">
        <w:rPr>
          <w:rFonts w:ascii="仿宋" w:eastAsia="仿宋" w:hAnsi="仿宋" w:hint="eastAsia"/>
        </w:rPr>
        <w:t>退市程序上，本次修订调整主要包括以下3个方面：</w:t>
      </w:r>
    </w:p>
    <w:p w14:paraId="67FEB46F" w14:textId="77777777" w:rsidR="0022074C" w:rsidRDefault="0022074C" w:rsidP="0022074C">
      <w:pPr>
        <w:shd w:val="clear" w:color="auto" w:fill="FFFFFF"/>
        <w:spacing w:line="360" w:lineRule="atLeast"/>
        <w:ind w:firstLine="480"/>
        <w:rPr>
          <w:rFonts w:ascii="仿宋" w:eastAsia="仿宋" w:hAnsi="仿宋"/>
        </w:rPr>
      </w:pPr>
      <w:r w:rsidRPr="0022074C">
        <w:rPr>
          <w:rFonts w:ascii="仿宋" w:eastAsia="仿宋" w:hAnsi="仿宋" w:hint="eastAsia"/>
        </w:rPr>
        <w:t>一是取消暂停上市和恢复上市环节，明确上市公司连续两年触及财务类指标即终止上市；</w:t>
      </w:r>
    </w:p>
    <w:p w14:paraId="0995F4EA" w14:textId="77777777" w:rsidR="0022074C" w:rsidRDefault="0022074C" w:rsidP="0022074C">
      <w:pPr>
        <w:shd w:val="clear" w:color="auto" w:fill="FFFFFF"/>
        <w:spacing w:line="360" w:lineRule="atLeast"/>
        <w:ind w:firstLine="480"/>
        <w:rPr>
          <w:rFonts w:ascii="仿宋" w:eastAsia="仿宋" w:hAnsi="仿宋"/>
        </w:rPr>
      </w:pPr>
      <w:r w:rsidRPr="0022074C">
        <w:rPr>
          <w:rFonts w:ascii="仿宋" w:eastAsia="仿宋" w:hAnsi="仿宋" w:hint="eastAsia"/>
        </w:rPr>
        <w:t>二是取消交易类退市情形的退市整理期设置，退市整理期首日不设涨跌幅限制，将退市整理期交易时限从30个交易日缩短为15个交易日；</w:t>
      </w:r>
    </w:p>
    <w:p w14:paraId="2EB03640" w14:textId="5A6D87A3" w:rsidR="0022074C" w:rsidRDefault="0022074C" w:rsidP="0022074C">
      <w:pPr>
        <w:shd w:val="clear" w:color="auto" w:fill="FFFFFF"/>
        <w:spacing w:line="360" w:lineRule="atLeast"/>
        <w:ind w:firstLine="480"/>
        <w:rPr>
          <w:rFonts w:ascii="仿宋" w:eastAsia="仿宋" w:hAnsi="仿宋"/>
        </w:rPr>
      </w:pPr>
      <w:r w:rsidRPr="0022074C">
        <w:rPr>
          <w:rFonts w:ascii="仿宋" w:eastAsia="仿宋" w:hAnsi="仿宋" w:hint="eastAsia"/>
        </w:rPr>
        <w:t>三是将重大违法类退市连续停牌时点从收到行政处罚事先告知书或法院判决之日，延后到收到行政处罚决定书或法院生效判决之日。</w:t>
      </w:r>
    </w:p>
    <w:p w14:paraId="36F94B89" w14:textId="77777777" w:rsidR="00B90776" w:rsidRDefault="00B90776" w:rsidP="0022074C">
      <w:pPr>
        <w:shd w:val="clear" w:color="auto" w:fill="FFFFFF"/>
        <w:spacing w:line="360" w:lineRule="atLeast"/>
        <w:ind w:firstLine="480"/>
        <w:rPr>
          <w:rFonts w:ascii="仿宋" w:eastAsia="仿宋" w:hAnsi="仿宋" w:hint="eastAsia"/>
        </w:rPr>
      </w:pPr>
    </w:p>
    <w:p w14:paraId="7501DC23" w14:textId="77777777" w:rsidR="00B2605B" w:rsidRPr="00150249" w:rsidRDefault="00B2605B" w:rsidP="00B2605B">
      <w:pPr>
        <w:pStyle w:val="ListParagraph"/>
        <w:numPr>
          <w:ilvl w:val="0"/>
          <w:numId w:val="20"/>
        </w:numPr>
        <w:rPr>
          <w:rFonts w:ascii="仿宋" w:eastAsia="仿宋" w:hAnsi="仿宋"/>
        </w:rPr>
      </w:pPr>
      <w:r w:rsidRPr="00150249">
        <w:rPr>
          <w:rStyle w:val="Strong"/>
          <w:rFonts w:ascii="Arial" w:hAnsi="Arial" w:cs="Arial"/>
          <w:color w:val="333333"/>
          <w:sz w:val="21"/>
          <w:szCs w:val="21"/>
          <w:shd w:val="clear" w:color="auto" w:fill="FFFFFF"/>
        </w:rPr>
        <w:t>深交所主板和中小板合并事项</w:t>
      </w:r>
    </w:p>
    <w:p w14:paraId="63671C28" w14:textId="77777777" w:rsidR="00B2605B" w:rsidRDefault="00B2605B" w:rsidP="00150249">
      <w:pPr>
        <w:pStyle w:val="ListParagraph"/>
        <w:rPr>
          <w:rFonts w:ascii="仿宋" w:eastAsia="仿宋" w:hAnsi="仿宋"/>
        </w:rPr>
      </w:pPr>
    </w:p>
    <w:p w14:paraId="05B01010" w14:textId="77777777" w:rsidR="00B2605B" w:rsidRDefault="00B2605B" w:rsidP="00150249">
      <w:pPr>
        <w:shd w:val="clear" w:color="auto" w:fill="FFFFFF"/>
        <w:spacing w:line="360" w:lineRule="atLeast"/>
        <w:ind w:firstLine="480"/>
        <w:rPr>
          <w:rFonts w:ascii="仿宋" w:eastAsia="仿宋" w:hAnsi="仿宋"/>
        </w:rPr>
      </w:pPr>
      <w:r>
        <w:rPr>
          <w:rFonts w:ascii="仿宋" w:eastAsia="仿宋" w:hAnsi="仿宋" w:hint="eastAsia"/>
        </w:rPr>
        <w:t>2月5日，证监会批准深交所主板与中小板合并。要点如下：</w:t>
      </w:r>
    </w:p>
    <w:p w14:paraId="4E64EE02" w14:textId="77777777" w:rsidR="00B2605B" w:rsidRPr="00B2605B" w:rsidRDefault="00150249" w:rsidP="00150249">
      <w:pPr>
        <w:shd w:val="clear" w:color="auto" w:fill="FFFFFF"/>
        <w:spacing w:line="360" w:lineRule="atLeast"/>
        <w:ind w:firstLine="480"/>
        <w:rPr>
          <w:rFonts w:ascii="仿宋" w:eastAsia="仿宋" w:hAnsi="仿宋"/>
        </w:rPr>
      </w:pPr>
      <w:r>
        <w:rPr>
          <w:rFonts w:ascii="仿宋" w:eastAsia="仿宋" w:hAnsi="仿宋" w:hint="eastAsia"/>
        </w:rPr>
        <w:t>一、</w:t>
      </w:r>
      <w:r w:rsidR="00B2605B" w:rsidRPr="00B2605B">
        <w:rPr>
          <w:rFonts w:ascii="仿宋" w:eastAsia="仿宋" w:hAnsi="仿宋" w:hint="eastAsia"/>
        </w:rPr>
        <w:t>主板支持相对成熟的企业融资发展、做优做强；创业板主要服务于成长型创新创业企业，突出“三创”“四新”；</w:t>
      </w:r>
    </w:p>
    <w:p w14:paraId="110BA569" w14:textId="2720B3D3" w:rsidR="00B2605B" w:rsidRDefault="00150249" w:rsidP="00150249">
      <w:pPr>
        <w:shd w:val="clear" w:color="auto" w:fill="FFFFFF"/>
        <w:spacing w:line="360" w:lineRule="atLeast"/>
        <w:ind w:firstLine="480"/>
        <w:rPr>
          <w:rFonts w:ascii="仿宋" w:eastAsia="仿宋" w:hAnsi="仿宋"/>
        </w:rPr>
      </w:pPr>
      <w:r>
        <w:rPr>
          <w:rFonts w:ascii="仿宋" w:eastAsia="仿宋" w:hAnsi="仿宋" w:hint="eastAsia"/>
        </w:rPr>
        <w:t>二、</w:t>
      </w:r>
      <w:r w:rsidR="00B2605B" w:rsidRPr="00B2605B">
        <w:rPr>
          <w:rFonts w:ascii="仿宋" w:eastAsia="仿宋" w:hAnsi="仿宋" w:hint="eastAsia"/>
        </w:rPr>
        <w:t>两板合并遵循了“两个统一，四个不变”的改革思路，即统一业务规则，统一运行监管模式，保持发行上市条件不变，投资者门槛不变，交易</w:t>
      </w:r>
      <w:r w:rsidR="004D3729">
        <w:rPr>
          <w:rFonts w:ascii="仿宋" w:eastAsia="仿宋" w:hAnsi="仿宋" w:hint="eastAsia"/>
        </w:rPr>
        <w:t>机制</w:t>
      </w:r>
      <w:r w:rsidR="00B2605B" w:rsidRPr="00B2605B">
        <w:rPr>
          <w:rFonts w:ascii="仿宋" w:eastAsia="仿宋" w:hAnsi="仿宋" w:hint="eastAsia"/>
        </w:rPr>
        <w:t>不变，原主板、中小板上市公司的证券代码及简称不变。</w:t>
      </w:r>
    </w:p>
    <w:p w14:paraId="06D56917" w14:textId="77777777" w:rsidR="00B2605B" w:rsidRPr="00B2605B" w:rsidRDefault="00150249" w:rsidP="00150249">
      <w:pPr>
        <w:shd w:val="clear" w:color="auto" w:fill="FFFFFF"/>
        <w:spacing w:line="360" w:lineRule="atLeast"/>
        <w:ind w:firstLine="480"/>
        <w:rPr>
          <w:rFonts w:ascii="仿宋" w:eastAsia="仿宋" w:hAnsi="仿宋"/>
        </w:rPr>
      </w:pPr>
      <w:r>
        <w:rPr>
          <w:rFonts w:ascii="仿宋" w:eastAsia="仿宋" w:hAnsi="仿宋" w:hint="eastAsia"/>
        </w:rPr>
        <w:t>三、</w:t>
      </w:r>
      <w:r w:rsidR="00B2605B">
        <w:rPr>
          <w:rFonts w:ascii="仿宋" w:eastAsia="仿宋" w:hAnsi="仿宋" w:hint="eastAsia"/>
        </w:rPr>
        <w:t>本次合并仅对涉及中小板相关指数的全称、简称和选样空间描述作适应性调整，如删除指数全称和简称中的“板”字，相关指数选样空间描述涉及的“中小板”变更为“原中小板”。不对指数编制方法作实质性变更，不会导致跟踪相关指数的基金产品投资标的调整。</w:t>
      </w:r>
    </w:p>
    <w:p w14:paraId="442D56D2" w14:textId="77777777" w:rsidR="00B2605B" w:rsidRPr="00774412" w:rsidRDefault="00B2605B" w:rsidP="00B70939">
      <w:pPr>
        <w:ind w:firstLine="357"/>
        <w:rPr>
          <w:rFonts w:ascii="仿宋" w:eastAsia="仿宋" w:hAnsi="仿宋"/>
        </w:rPr>
      </w:pPr>
    </w:p>
    <w:p w14:paraId="1A688A5C" w14:textId="77777777" w:rsidR="00774412" w:rsidRPr="00774412" w:rsidRDefault="00774412" w:rsidP="00774412">
      <w:pPr>
        <w:rPr>
          <w:rFonts w:ascii="仿宋" w:eastAsia="仿宋" w:hAnsi="仿宋"/>
        </w:rPr>
      </w:pPr>
    </w:p>
    <w:p w14:paraId="3790BD9E" w14:textId="77777777" w:rsidR="006365B7" w:rsidRPr="00774412" w:rsidRDefault="006365B7" w:rsidP="006365B7">
      <w:pPr>
        <w:rPr>
          <w:rFonts w:ascii="仿宋" w:eastAsia="仿宋" w:hAnsi="仿宋"/>
        </w:rPr>
      </w:pPr>
    </w:p>
    <w:sectPr w:rsidR="006365B7" w:rsidRPr="00774412" w:rsidSect="00A06BB3">
      <w:footerReference w:type="default" r:id="rId11"/>
      <w:pgSz w:w="11907" w:h="16839" w:code="9"/>
      <w:pgMar w:top="1985" w:right="737" w:bottom="1134" w:left="1814" w:header="703" w:footer="703"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CCD6B" w14:textId="77777777" w:rsidR="00B00A81" w:rsidRDefault="00B00A81" w:rsidP="00D91F59">
      <w:r>
        <w:separator/>
      </w:r>
    </w:p>
  </w:endnote>
  <w:endnote w:type="continuationSeparator" w:id="0">
    <w:p w14:paraId="6BA6CC9B" w14:textId="77777777" w:rsidR="00B00A81" w:rsidRDefault="00B00A81" w:rsidP="00D9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redit Suisse Type Light">
    <w:panose1 w:val="020B0303040503020204"/>
    <w:charset w:val="00"/>
    <w:family w:val="swiss"/>
    <w:pitch w:val="variable"/>
    <w:sig w:usb0="800002AF" w:usb1="5000204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redit Suisse Headline">
    <w:panose1 w:val="020B0504030101020102"/>
    <w:charset w:val="00"/>
    <w:family w:val="swiss"/>
    <w:pitch w:val="variable"/>
    <w:sig w:usb0="A00000EF" w:usb1="400020FB" w:usb2="00000008"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21D08" w14:textId="77777777" w:rsidR="00A7457D" w:rsidRPr="00A7457D" w:rsidRDefault="00A7457D" w:rsidP="00403D1C">
    <w:pPr>
      <w:rPr>
        <w:color w:val="3F3F3F" w:themeColor="text2" w:themeShade="80"/>
        <w:szCs w:val="20"/>
      </w:rPr>
    </w:pPr>
    <w:r w:rsidRPr="00A7457D">
      <w:rPr>
        <w:noProof/>
        <w:szCs w:val="20"/>
      </w:rPr>
      <mc:AlternateContent>
        <mc:Choice Requires="wps">
          <w:drawing>
            <wp:anchor distT="0" distB="0" distL="114300" distR="114300" simplePos="0" relativeHeight="251659264" behindDoc="0" locked="0" layoutInCell="1" allowOverlap="1" wp14:anchorId="18A7801D" wp14:editId="6CEA87BD">
              <wp:simplePos x="0" y="0"/>
              <mc:AlternateContent>
                <mc:Choice Requires="wp14">
                  <wp:positionH relativeFrom="page">
                    <wp14:pctPosHOffset>88000</wp14:pctPosHOffset>
                  </wp:positionH>
                </mc:Choice>
                <mc:Fallback>
                  <wp:positionH relativeFrom="page">
                    <wp:posOffset>6653530</wp:posOffset>
                  </wp:positionH>
                </mc:Fallback>
              </mc:AlternateContent>
              <mc:AlternateContent>
                <mc:Choice Requires="wp14">
                  <wp:positionV relativeFrom="page">
                    <wp14:pctPosVOffset>93000</wp14:pctPosVOffset>
                  </wp:positionV>
                </mc:Choice>
                <mc:Fallback>
                  <wp:positionV relativeFrom="page">
                    <wp:posOffset>9944100</wp:posOffset>
                  </wp:positionV>
                </mc:Fallback>
              </mc:AlternateContent>
              <wp:extent cx="388620" cy="313055"/>
              <wp:effectExtent l="0" t="0" r="3175"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64821" w14:textId="38280BF5" w:rsidR="00A7457D" w:rsidRPr="00A7457D" w:rsidRDefault="00A7457D" w:rsidP="00A7457D">
                          <w:pPr>
                            <w:jc w:val="right"/>
                            <w:rPr>
                              <w:color w:val="3F3F3F" w:themeColor="text2" w:themeShade="80"/>
                              <w:szCs w:val="20"/>
                            </w:rPr>
                          </w:pPr>
                          <w:r w:rsidRPr="00A7457D">
                            <w:rPr>
                              <w:color w:val="3F3F3F" w:themeColor="text2" w:themeShade="80"/>
                              <w:szCs w:val="20"/>
                            </w:rPr>
                            <w:fldChar w:fldCharType="begin"/>
                          </w:r>
                          <w:r w:rsidRPr="00A7457D">
                            <w:rPr>
                              <w:color w:val="3F3F3F" w:themeColor="text2" w:themeShade="80"/>
                              <w:szCs w:val="20"/>
                            </w:rPr>
                            <w:instrText xml:space="preserve"> PAGE  \* Arabic  \* MERGEFORMAT </w:instrText>
                          </w:r>
                          <w:r w:rsidRPr="00A7457D">
                            <w:rPr>
                              <w:color w:val="3F3F3F" w:themeColor="text2" w:themeShade="80"/>
                              <w:szCs w:val="20"/>
                            </w:rPr>
                            <w:fldChar w:fldCharType="separate"/>
                          </w:r>
                          <w:r w:rsidR="00562DB3">
                            <w:rPr>
                              <w:noProof/>
                              <w:color w:val="3F3F3F" w:themeColor="text2" w:themeShade="80"/>
                              <w:szCs w:val="20"/>
                            </w:rPr>
                            <w:t>2</w:t>
                          </w:r>
                          <w:r w:rsidRPr="00A7457D">
                            <w:rPr>
                              <w:color w:val="3F3F3F" w:themeColor="text2" w:themeShade="8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18A7801D"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880;mso-top-percent:930;mso-wrap-distance-left:9pt;mso-wrap-distance-top:0;mso-wrap-distance-right:9pt;mso-wrap-distance-bottom:0;mso-position-horizontal-relative:page;mso-position-vertical-relative:page;mso-width-percent:50;mso-height-percent:50;mso-left-percent:88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" fillcolor="white [3201]" stroked="f" strokeweight=".5pt">
              <v:textbox style="mso-fit-shape-to-text:t" inset="0,,0">
                <w:txbxContent>
                  <w:p w14:paraId="7C664821" w14:textId="38280BF5" w:rsidR="00A7457D" w:rsidRPr="00A7457D" w:rsidRDefault="00A7457D" w:rsidP="00A7457D">
                    <w:pPr>
                      <w:jc w:val="right"/>
                      <w:rPr>
                        <w:color w:val="3F3F3F" w:themeColor="text2" w:themeShade="80"/>
                        <w:szCs w:val="20"/>
                      </w:rPr>
                    </w:pPr>
                    <w:r w:rsidRPr="00A7457D">
                      <w:rPr>
                        <w:color w:val="3F3F3F" w:themeColor="text2" w:themeShade="80"/>
                        <w:szCs w:val="20"/>
                      </w:rPr>
                      <w:fldChar w:fldCharType="begin"/>
                    </w:r>
                    <w:r w:rsidRPr="00A7457D">
                      <w:rPr>
                        <w:color w:val="3F3F3F" w:themeColor="text2" w:themeShade="80"/>
                        <w:szCs w:val="20"/>
                      </w:rPr>
                      <w:instrText xml:space="preserve"> PAGE  \* Arabic  \* MERGEFORMAT </w:instrText>
                    </w:r>
                    <w:r w:rsidRPr="00A7457D">
                      <w:rPr>
                        <w:color w:val="3F3F3F" w:themeColor="text2" w:themeShade="80"/>
                        <w:szCs w:val="20"/>
                      </w:rPr>
                      <w:fldChar w:fldCharType="separate"/>
                    </w:r>
                    <w:r w:rsidR="00562DB3">
                      <w:rPr>
                        <w:noProof/>
                        <w:color w:val="3F3F3F" w:themeColor="text2" w:themeShade="80"/>
                        <w:szCs w:val="20"/>
                      </w:rPr>
                      <w:t>2</w:t>
                    </w:r>
                    <w:r w:rsidRPr="00A7457D">
                      <w:rPr>
                        <w:color w:val="3F3F3F" w:themeColor="text2" w:themeShade="8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B1FA6" w14:textId="77777777" w:rsidR="00B00A81" w:rsidRDefault="00B00A81" w:rsidP="00D91F59">
      <w:r>
        <w:separator/>
      </w:r>
    </w:p>
  </w:footnote>
  <w:footnote w:type="continuationSeparator" w:id="0">
    <w:p w14:paraId="78378CA2" w14:textId="77777777" w:rsidR="00B00A81" w:rsidRDefault="00B00A81" w:rsidP="00D91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E82BCE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0EED6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945311"/>
    <w:multiLevelType w:val="hybridMultilevel"/>
    <w:tmpl w:val="82A2EC4C"/>
    <w:lvl w:ilvl="0" w:tplc="F8EE5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16A6C"/>
    <w:multiLevelType w:val="hybridMultilevel"/>
    <w:tmpl w:val="FB6020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5103E4"/>
    <w:multiLevelType w:val="multilevel"/>
    <w:tmpl w:val="FCF615A8"/>
    <w:numStyleLink w:val="ListCS"/>
  </w:abstractNum>
  <w:abstractNum w:abstractNumId="5" w15:restartNumberingAfterBreak="0">
    <w:nsid w:val="1080364B"/>
    <w:multiLevelType w:val="hybridMultilevel"/>
    <w:tmpl w:val="23A493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D03EA2"/>
    <w:multiLevelType w:val="multilevel"/>
    <w:tmpl w:val="FCF615A8"/>
    <w:numStyleLink w:val="ListCS"/>
  </w:abstractNum>
  <w:abstractNum w:abstractNumId="7" w15:restartNumberingAfterBreak="0">
    <w:nsid w:val="237F07CE"/>
    <w:multiLevelType w:val="multilevel"/>
    <w:tmpl w:val="FCF615A8"/>
    <w:styleLink w:val="ListCS"/>
    <w:lvl w:ilvl="0">
      <w:start w:val="1"/>
      <w:numFmt w:val="bullet"/>
      <w:pStyle w:val="ListBullet"/>
      <w:lvlText w:val=""/>
      <w:lvlJc w:val="left"/>
      <w:pPr>
        <w:ind w:left="198" w:hanging="198"/>
      </w:pPr>
      <w:rPr>
        <w:rFonts w:ascii="Credit Suisse Type Light" w:hAnsi="Credit Suisse Type Light" w:cs="Times New Roman" w:hint="default"/>
        <w:color w:val="A6A6A6" w:themeColor="background1" w:themeShade="A6"/>
      </w:rPr>
    </w:lvl>
    <w:lvl w:ilvl="1">
      <w:start w:val="1"/>
      <w:numFmt w:val="bullet"/>
      <w:pStyle w:val="ListBullet2"/>
      <w:lvlText w:val="−"/>
      <w:lvlJc w:val="left"/>
      <w:pPr>
        <w:ind w:left="396" w:hanging="198"/>
      </w:pPr>
      <w:rPr>
        <w:rFonts w:ascii="Credit Suisse Type Light" w:hAnsi="Credit Suisse Type Light" w:cs="Times New Roman" w:hint="default"/>
        <w:color w:val="auto"/>
      </w:rPr>
    </w:lvl>
    <w:lvl w:ilvl="2">
      <w:start w:val="1"/>
      <w:numFmt w:val="bullet"/>
      <w:lvlText w:val=""/>
      <w:lvlJc w:val="left"/>
      <w:pPr>
        <w:tabs>
          <w:tab w:val="num" w:pos="2835"/>
        </w:tabs>
        <w:ind w:left="594" w:hanging="198"/>
      </w:pPr>
      <w:rPr>
        <w:rFonts w:ascii="Credit Suisse Type Light" w:hAnsi="Credit Suisse Type Light" w:cs="Times New Roman" w:hint="default"/>
        <w:color w:val="A6A6A6" w:themeColor="background1" w:themeShade="A6"/>
      </w:rPr>
    </w:lvl>
    <w:lvl w:ilvl="3">
      <w:start w:val="1"/>
      <w:numFmt w:val="bullet"/>
      <w:lvlText w:val="−"/>
      <w:lvlJc w:val="left"/>
      <w:pPr>
        <w:tabs>
          <w:tab w:val="num" w:pos="5670"/>
        </w:tabs>
        <w:ind w:left="792" w:hanging="198"/>
      </w:pPr>
      <w:rPr>
        <w:rFonts w:ascii="Credit Suisse Type Light" w:hAnsi="Credit Suisse Type Light" w:cs="Times New Roman" w:hint="default"/>
        <w:color w:val="auto"/>
      </w:rPr>
    </w:lvl>
    <w:lvl w:ilvl="4">
      <w:start w:val="1"/>
      <w:numFmt w:val="bullet"/>
      <w:lvlText w:val=""/>
      <w:lvlJc w:val="left"/>
      <w:pPr>
        <w:ind w:left="990" w:hanging="198"/>
      </w:pPr>
      <w:rPr>
        <w:rFonts w:ascii="Credit Suisse Type Light" w:hAnsi="Credit Suisse Type Light" w:cs="Times New Roman" w:hint="default"/>
        <w:color w:val="A6A6A6" w:themeColor="background1" w:themeShade="A6"/>
      </w:rPr>
    </w:lvl>
    <w:lvl w:ilvl="5">
      <w:start w:val="1"/>
      <w:numFmt w:val="bullet"/>
      <w:lvlText w:val="−"/>
      <w:lvlJc w:val="left"/>
      <w:pPr>
        <w:ind w:left="1188" w:hanging="198"/>
      </w:pPr>
      <w:rPr>
        <w:rFonts w:ascii="Credit Suisse Type Light" w:hAnsi="Credit Suisse Type Light" w:cs="Times New Roman" w:hint="default"/>
        <w:color w:val="auto"/>
      </w:rPr>
    </w:lvl>
    <w:lvl w:ilvl="6">
      <w:start w:val="1"/>
      <w:numFmt w:val="bullet"/>
      <w:lvlText w:val=""/>
      <w:lvlJc w:val="left"/>
      <w:pPr>
        <w:ind w:left="1389" w:hanging="201"/>
      </w:pPr>
      <w:rPr>
        <w:rFonts w:ascii="Credit Suisse Type Light" w:hAnsi="Credit Suisse Type Light" w:cs="Times New Roman" w:hint="default"/>
        <w:color w:val="A6A6A6" w:themeColor="background1" w:themeShade="A6"/>
      </w:rPr>
    </w:lvl>
    <w:lvl w:ilvl="7">
      <w:start w:val="1"/>
      <w:numFmt w:val="bullet"/>
      <w:lvlText w:val="−"/>
      <w:lvlJc w:val="left"/>
      <w:pPr>
        <w:ind w:left="1588" w:hanging="199"/>
      </w:pPr>
      <w:rPr>
        <w:rFonts w:ascii="Credit Suisse Type Light" w:hAnsi="Credit Suisse Type Light" w:cs="Times New Roman" w:hint="default"/>
        <w:color w:val="auto"/>
      </w:rPr>
    </w:lvl>
    <w:lvl w:ilvl="8">
      <w:start w:val="1"/>
      <w:numFmt w:val="bullet"/>
      <w:lvlText w:val=""/>
      <w:lvlJc w:val="left"/>
      <w:pPr>
        <w:ind w:left="1786" w:hanging="198"/>
      </w:pPr>
      <w:rPr>
        <w:rFonts w:ascii="Credit Suisse Type Light" w:hAnsi="Credit Suisse Type Light" w:cs="Times New Roman" w:hint="default"/>
        <w:color w:val="A6A6A6" w:themeColor="background1" w:themeShade="A6"/>
      </w:rPr>
    </w:lvl>
  </w:abstractNum>
  <w:abstractNum w:abstractNumId="8" w15:restartNumberingAfterBreak="0">
    <w:nsid w:val="26BD4F2E"/>
    <w:multiLevelType w:val="hybridMultilevel"/>
    <w:tmpl w:val="D294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50FFF"/>
    <w:multiLevelType w:val="hybridMultilevel"/>
    <w:tmpl w:val="A05C97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64BD9"/>
    <w:multiLevelType w:val="hybridMultilevel"/>
    <w:tmpl w:val="C70482D8"/>
    <w:lvl w:ilvl="0" w:tplc="5F56044A">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A50A2"/>
    <w:multiLevelType w:val="multilevel"/>
    <w:tmpl w:val="FCF615A8"/>
    <w:numStyleLink w:val="ListCS"/>
  </w:abstractNum>
  <w:abstractNum w:abstractNumId="12" w15:restartNumberingAfterBreak="0">
    <w:nsid w:val="319E3D56"/>
    <w:multiLevelType w:val="hybridMultilevel"/>
    <w:tmpl w:val="7ACED5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E86371"/>
    <w:multiLevelType w:val="multilevel"/>
    <w:tmpl w:val="FCF615A8"/>
    <w:numStyleLink w:val="ListCS"/>
  </w:abstractNum>
  <w:abstractNum w:abstractNumId="14" w15:restartNumberingAfterBreak="0">
    <w:nsid w:val="3531541D"/>
    <w:multiLevelType w:val="multilevel"/>
    <w:tmpl w:val="FCF615A8"/>
    <w:numStyleLink w:val="ListCS"/>
  </w:abstractNum>
  <w:abstractNum w:abstractNumId="15" w15:restartNumberingAfterBreak="0">
    <w:nsid w:val="37F85C18"/>
    <w:multiLevelType w:val="hybridMultilevel"/>
    <w:tmpl w:val="73E815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F3F467D"/>
    <w:multiLevelType w:val="hybridMultilevel"/>
    <w:tmpl w:val="BCD6EF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3685222"/>
    <w:multiLevelType w:val="hybridMultilevel"/>
    <w:tmpl w:val="365E17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C164AC3"/>
    <w:multiLevelType w:val="hybridMultilevel"/>
    <w:tmpl w:val="EBDA9D34"/>
    <w:lvl w:ilvl="0" w:tplc="0FDA78E8">
      <w:start w:val="1"/>
      <w:numFmt w:val="bullet"/>
      <w:lvlText w:val=""/>
      <w:lvlJc w:val="left"/>
      <w:pPr>
        <w:ind w:left="720" w:hanging="360"/>
      </w:pPr>
      <w:rPr>
        <w:rFonts w:ascii="Credit Suisse Type Light" w:hAnsi="Credit Suisse Type Light" w:cs="Credit Suisse Type Light" w:hint="default"/>
        <w:color w:val="A6A6A6" w:themeColor="background1" w:themeShade="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8"/>
  </w:num>
  <w:num w:numId="5">
    <w:abstractNumId w:val="4"/>
  </w:num>
  <w:num w:numId="6">
    <w:abstractNumId w:val="13"/>
  </w:num>
  <w:num w:numId="7">
    <w:abstractNumId w:val="14"/>
  </w:num>
  <w:num w:numId="8">
    <w:abstractNumId w:val="11"/>
  </w:num>
  <w:num w:numId="9">
    <w:abstractNumId w:val="6"/>
  </w:num>
  <w:num w:numId="10">
    <w:abstractNumId w:val="10"/>
  </w:num>
  <w:num w:numId="11">
    <w:abstractNumId w:val="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8"/>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81"/>
    <w:rsid w:val="0000041D"/>
    <w:rsid w:val="000144B8"/>
    <w:rsid w:val="00033348"/>
    <w:rsid w:val="0004045D"/>
    <w:rsid w:val="00055C3A"/>
    <w:rsid w:val="00064279"/>
    <w:rsid w:val="000716DB"/>
    <w:rsid w:val="0007327B"/>
    <w:rsid w:val="00084D15"/>
    <w:rsid w:val="00090DC1"/>
    <w:rsid w:val="000D4BAA"/>
    <w:rsid w:val="000E0B74"/>
    <w:rsid w:val="000F49D0"/>
    <w:rsid w:val="0010658C"/>
    <w:rsid w:val="001164A0"/>
    <w:rsid w:val="00150249"/>
    <w:rsid w:val="001A2A9B"/>
    <w:rsid w:val="001A7D98"/>
    <w:rsid w:val="001C50EC"/>
    <w:rsid w:val="001D27B4"/>
    <w:rsid w:val="001D5E39"/>
    <w:rsid w:val="001E010B"/>
    <w:rsid w:val="001F10A7"/>
    <w:rsid w:val="0022074C"/>
    <w:rsid w:val="00220C54"/>
    <w:rsid w:val="00224603"/>
    <w:rsid w:val="00242C30"/>
    <w:rsid w:val="00245E5E"/>
    <w:rsid w:val="00266220"/>
    <w:rsid w:val="002A40FF"/>
    <w:rsid w:val="002A42B8"/>
    <w:rsid w:val="002B65A8"/>
    <w:rsid w:val="003271DE"/>
    <w:rsid w:val="00345889"/>
    <w:rsid w:val="00370E6D"/>
    <w:rsid w:val="003810CF"/>
    <w:rsid w:val="00403D1C"/>
    <w:rsid w:val="004047B4"/>
    <w:rsid w:val="00411E04"/>
    <w:rsid w:val="00445B2A"/>
    <w:rsid w:val="00452CE5"/>
    <w:rsid w:val="004630C4"/>
    <w:rsid w:val="004B1475"/>
    <w:rsid w:val="004C0E79"/>
    <w:rsid w:val="004D3729"/>
    <w:rsid w:val="004D747F"/>
    <w:rsid w:val="0051309E"/>
    <w:rsid w:val="00562DB3"/>
    <w:rsid w:val="00573493"/>
    <w:rsid w:val="00591B4C"/>
    <w:rsid w:val="005A7AA1"/>
    <w:rsid w:val="005B4018"/>
    <w:rsid w:val="005B54B8"/>
    <w:rsid w:val="005B6232"/>
    <w:rsid w:val="005B7325"/>
    <w:rsid w:val="005C1598"/>
    <w:rsid w:val="005C18C3"/>
    <w:rsid w:val="005D7BA3"/>
    <w:rsid w:val="005E299A"/>
    <w:rsid w:val="0061315F"/>
    <w:rsid w:val="006365B7"/>
    <w:rsid w:val="00697EA7"/>
    <w:rsid w:val="006C37E4"/>
    <w:rsid w:val="00746C09"/>
    <w:rsid w:val="00760446"/>
    <w:rsid w:val="00770E55"/>
    <w:rsid w:val="00774412"/>
    <w:rsid w:val="00783CA6"/>
    <w:rsid w:val="007941AA"/>
    <w:rsid w:val="007D3A59"/>
    <w:rsid w:val="00816014"/>
    <w:rsid w:val="00830943"/>
    <w:rsid w:val="00844C0C"/>
    <w:rsid w:val="00845E77"/>
    <w:rsid w:val="008C0CC5"/>
    <w:rsid w:val="008F35AB"/>
    <w:rsid w:val="0094120A"/>
    <w:rsid w:val="009770D7"/>
    <w:rsid w:val="009862A2"/>
    <w:rsid w:val="00991EA9"/>
    <w:rsid w:val="009B1927"/>
    <w:rsid w:val="009B2293"/>
    <w:rsid w:val="009B5934"/>
    <w:rsid w:val="009C0BB6"/>
    <w:rsid w:val="009F4728"/>
    <w:rsid w:val="00A06BB3"/>
    <w:rsid w:val="00A171E2"/>
    <w:rsid w:val="00A31F05"/>
    <w:rsid w:val="00A342FD"/>
    <w:rsid w:val="00A605B5"/>
    <w:rsid w:val="00A624E6"/>
    <w:rsid w:val="00A7457D"/>
    <w:rsid w:val="00A80B06"/>
    <w:rsid w:val="00AA24D6"/>
    <w:rsid w:val="00AB309D"/>
    <w:rsid w:val="00AB78D3"/>
    <w:rsid w:val="00AF647E"/>
    <w:rsid w:val="00B00A81"/>
    <w:rsid w:val="00B1772E"/>
    <w:rsid w:val="00B2605B"/>
    <w:rsid w:val="00B40B54"/>
    <w:rsid w:val="00B4749A"/>
    <w:rsid w:val="00B70939"/>
    <w:rsid w:val="00B90776"/>
    <w:rsid w:val="00BA13DE"/>
    <w:rsid w:val="00BD430E"/>
    <w:rsid w:val="00C60CAD"/>
    <w:rsid w:val="00C625A4"/>
    <w:rsid w:val="00C66184"/>
    <w:rsid w:val="00C70177"/>
    <w:rsid w:val="00C854AF"/>
    <w:rsid w:val="00CB32DF"/>
    <w:rsid w:val="00CC7830"/>
    <w:rsid w:val="00CE7149"/>
    <w:rsid w:val="00D143B1"/>
    <w:rsid w:val="00D32D84"/>
    <w:rsid w:val="00D35701"/>
    <w:rsid w:val="00D45CA4"/>
    <w:rsid w:val="00D51873"/>
    <w:rsid w:val="00D528C1"/>
    <w:rsid w:val="00D85000"/>
    <w:rsid w:val="00D91F59"/>
    <w:rsid w:val="00DA485E"/>
    <w:rsid w:val="00DC4F33"/>
    <w:rsid w:val="00E235BA"/>
    <w:rsid w:val="00E35C72"/>
    <w:rsid w:val="00E400F7"/>
    <w:rsid w:val="00E468B2"/>
    <w:rsid w:val="00F32AF6"/>
    <w:rsid w:val="00F3363D"/>
    <w:rsid w:val="00F47B51"/>
    <w:rsid w:val="00F67163"/>
    <w:rsid w:val="00FA44E9"/>
    <w:rsid w:val="00FB74C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2C7C15"/>
  <w15:chartTrackingRefBased/>
  <w15:docId w15:val="{8C6471D3-3268-4A8F-AB5D-829B564E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uiPriority="5"/>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8"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5B7"/>
    <w:pPr>
      <w:spacing w:after="0" w:line="240" w:lineRule="auto"/>
    </w:pPr>
    <w:rPr>
      <w:sz w:val="20"/>
    </w:rPr>
  </w:style>
  <w:style w:type="paragraph" w:styleId="Heading1">
    <w:name w:val="heading 1"/>
    <w:basedOn w:val="Normal"/>
    <w:next w:val="Normal"/>
    <w:link w:val="Heading1Char"/>
    <w:uiPriority w:val="3"/>
    <w:qFormat/>
    <w:rsid w:val="000E0B74"/>
    <w:pPr>
      <w:keepNext/>
      <w:keepLines/>
      <w:spacing w:before="480"/>
      <w:outlineLvl w:val="0"/>
    </w:pPr>
    <w:rPr>
      <w:rFonts w:asciiTheme="majorHAnsi" w:eastAsiaTheme="majorEastAsia" w:hAnsiTheme="majorHAnsi" w:cstheme="majorBidi"/>
      <w:b/>
      <w:bCs/>
      <w:szCs w:val="20"/>
    </w:rPr>
  </w:style>
  <w:style w:type="paragraph" w:styleId="Heading2">
    <w:name w:val="heading 2"/>
    <w:basedOn w:val="Normal"/>
    <w:next w:val="Normal"/>
    <w:link w:val="Heading2Char"/>
    <w:uiPriority w:val="4"/>
    <w:qFormat/>
    <w:rsid w:val="00CC7830"/>
    <w:pPr>
      <w:keepNext/>
      <w:keepLines/>
      <w:spacing w:before="200"/>
      <w:outlineLvl w:val="1"/>
    </w:pPr>
    <w:rPr>
      <w:rFonts w:asciiTheme="majorHAnsi" w:eastAsiaTheme="majorEastAsia" w:hAnsiTheme="majorHAnsi" w:cstheme="majorBidi"/>
      <w:b/>
      <w:bCs/>
      <w:color w:val="A6A6A6" w:themeColor="background1" w:themeShade="A6"/>
      <w:szCs w:val="20"/>
    </w:rPr>
  </w:style>
  <w:style w:type="paragraph" w:styleId="Heading3">
    <w:name w:val="heading 3"/>
    <w:basedOn w:val="Normal"/>
    <w:next w:val="Normal"/>
    <w:link w:val="Heading3Char"/>
    <w:uiPriority w:val="5"/>
    <w:unhideWhenUsed/>
    <w:rsid w:val="005B6232"/>
    <w:pPr>
      <w:keepNext/>
      <w:keepLines/>
      <w:spacing w:before="200"/>
      <w:outlineLvl w:val="2"/>
    </w:pPr>
    <w:rPr>
      <w:rFonts w:asciiTheme="majorHAnsi" w:eastAsiaTheme="majorEastAsia" w:hAnsiTheme="majorHAnsi" w:cstheme="majorBidi"/>
      <w:b/>
      <w:bCs/>
      <w:color w:val="003868"/>
    </w:rPr>
  </w:style>
  <w:style w:type="paragraph" w:styleId="Heading4">
    <w:name w:val="heading 4"/>
    <w:basedOn w:val="Normal"/>
    <w:next w:val="Normal"/>
    <w:link w:val="Heading4Char"/>
    <w:uiPriority w:val="9"/>
    <w:semiHidden/>
    <w:rsid w:val="00224603"/>
    <w:pPr>
      <w:keepNext/>
      <w:keepLines/>
      <w:spacing w:before="200"/>
      <w:outlineLvl w:val="3"/>
    </w:pPr>
    <w:rPr>
      <w:rFonts w:asciiTheme="majorHAnsi" w:eastAsiaTheme="majorEastAsia" w:hAnsiTheme="majorHAnsi" w:cstheme="majorBidi"/>
      <w:bCs/>
      <w:i/>
      <w:iCs/>
      <w:color w:val="0072C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0E0B74"/>
    <w:rPr>
      <w:rFonts w:asciiTheme="majorHAnsi" w:eastAsiaTheme="majorEastAsia" w:hAnsiTheme="majorHAnsi" w:cstheme="majorBidi"/>
      <w:b/>
      <w:bCs/>
      <w:kern w:val="22"/>
      <w:sz w:val="20"/>
      <w:szCs w:val="20"/>
    </w:rPr>
  </w:style>
  <w:style w:type="character" w:customStyle="1" w:styleId="Heading2Char">
    <w:name w:val="Heading 2 Char"/>
    <w:basedOn w:val="DefaultParagraphFont"/>
    <w:link w:val="Heading2"/>
    <w:uiPriority w:val="4"/>
    <w:rsid w:val="00CC7830"/>
    <w:rPr>
      <w:rFonts w:asciiTheme="majorHAnsi" w:eastAsiaTheme="majorEastAsia" w:hAnsiTheme="majorHAnsi" w:cstheme="majorBidi"/>
      <w:b/>
      <w:bCs/>
      <w:color w:val="A6A6A6" w:themeColor="background1" w:themeShade="A6"/>
      <w:sz w:val="20"/>
      <w:szCs w:val="20"/>
    </w:rPr>
  </w:style>
  <w:style w:type="numbering" w:customStyle="1" w:styleId="ListCS">
    <w:name w:val="List CS"/>
    <w:uiPriority w:val="99"/>
    <w:rsid w:val="001A2A9B"/>
    <w:pPr>
      <w:numPr>
        <w:numId w:val="3"/>
      </w:numPr>
    </w:pPr>
  </w:style>
  <w:style w:type="paragraph" w:styleId="ListParagraph">
    <w:name w:val="List Paragraph"/>
    <w:basedOn w:val="Normal"/>
    <w:uiPriority w:val="34"/>
    <w:qFormat/>
    <w:rsid w:val="00C625A4"/>
    <w:pPr>
      <w:ind w:left="720"/>
      <w:contextualSpacing/>
    </w:pPr>
  </w:style>
  <w:style w:type="paragraph" w:styleId="ListBullet">
    <w:name w:val="List Bullet"/>
    <w:basedOn w:val="Normal"/>
    <w:link w:val="ListBulletChar"/>
    <w:uiPriority w:val="7"/>
    <w:qFormat/>
    <w:rsid w:val="001A2A9B"/>
    <w:pPr>
      <w:numPr>
        <w:numId w:val="9"/>
      </w:numPr>
      <w:contextualSpacing/>
    </w:pPr>
  </w:style>
  <w:style w:type="paragraph" w:styleId="ListBullet2">
    <w:name w:val="List Bullet 2"/>
    <w:basedOn w:val="Normal"/>
    <w:uiPriority w:val="8"/>
    <w:qFormat/>
    <w:rsid w:val="001A2A9B"/>
    <w:pPr>
      <w:numPr>
        <w:ilvl w:val="1"/>
        <w:numId w:val="9"/>
      </w:numPr>
      <w:contextualSpacing/>
    </w:pPr>
  </w:style>
  <w:style w:type="paragraph" w:styleId="Title">
    <w:name w:val="Title"/>
    <w:basedOn w:val="Normal"/>
    <w:next w:val="Normal"/>
    <w:link w:val="TitleChar"/>
    <w:uiPriority w:val="1"/>
    <w:qFormat/>
    <w:rsid w:val="00DC4F33"/>
    <w:pPr>
      <w:spacing w:line="430" w:lineRule="exact"/>
      <w:contextualSpacing/>
    </w:pPr>
    <w:rPr>
      <w:rFonts w:asciiTheme="majorHAnsi" w:eastAsiaTheme="majorEastAsia" w:hAnsiTheme="majorHAnsi" w:cstheme="majorBidi"/>
      <w:b/>
      <w:snapToGrid w:val="0"/>
      <w:sz w:val="28"/>
      <w:szCs w:val="52"/>
    </w:rPr>
  </w:style>
  <w:style w:type="character" w:customStyle="1" w:styleId="TitleChar">
    <w:name w:val="Title Char"/>
    <w:basedOn w:val="DefaultParagraphFont"/>
    <w:link w:val="Title"/>
    <w:uiPriority w:val="1"/>
    <w:rsid w:val="00DC4F33"/>
    <w:rPr>
      <w:rFonts w:asciiTheme="majorHAnsi" w:eastAsiaTheme="majorEastAsia" w:hAnsiTheme="majorHAnsi" w:cstheme="majorBidi"/>
      <w:b/>
      <w:snapToGrid w:val="0"/>
      <w:sz w:val="28"/>
      <w:szCs w:val="52"/>
    </w:rPr>
  </w:style>
  <w:style w:type="character" w:styleId="Emphasis">
    <w:name w:val="Emphasis"/>
    <w:basedOn w:val="DefaultParagraphFont"/>
    <w:uiPriority w:val="6"/>
    <w:qFormat/>
    <w:rsid w:val="002A42B8"/>
    <w:rPr>
      <w:rFonts w:asciiTheme="minorHAnsi" w:hAnsiTheme="minorHAnsi"/>
      <w:b/>
      <w:i w:val="0"/>
      <w:iCs/>
      <w:color w:val="auto"/>
      <w:sz w:val="20"/>
    </w:rPr>
  </w:style>
  <w:style w:type="character" w:customStyle="1" w:styleId="Heading3Char">
    <w:name w:val="Heading 3 Char"/>
    <w:basedOn w:val="DefaultParagraphFont"/>
    <w:link w:val="Heading3"/>
    <w:uiPriority w:val="5"/>
    <w:rsid w:val="001164A0"/>
    <w:rPr>
      <w:rFonts w:asciiTheme="majorHAnsi" w:eastAsiaTheme="majorEastAsia" w:hAnsiTheme="majorHAnsi" w:cstheme="majorBidi"/>
      <w:b/>
      <w:bCs/>
      <w:color w:val="003868"/>
      <w:sz w:val="20"/>
    </w:rPr>
  </w:style>
  <w:style w:type="character" w:customStyle="1" w:styleId="Heading4Char">
    <w:name w:val="Heading 4 Char"/>
    <w:basedOn w:val="DefaultParagraphFont"/>
    <w:link w:val="Heading4"/>
    <w:uiPriority w:val="9"/>
    <w:semiHidden/>
    <w:rsid w:val="00CC7830"/>
    <w:rPr>
      <w:rFonts w:asciiTheme="majorHAnsi" w:eastAsiaTheme="majorEastAsia" w:hAnsiTheme="majorHAnsi" w:cstheme="majorBidi"/>
      <w:bCs/>
      <w:i/>
      <w:iCs/>
      <w:color w:val="0072CE" w:themeColor="accent1"/>
      <w:kern w:val="22"/>
      <w:sz w:val="20"/>
    </w:rPr>
  </w:style>
  <w:style w:type="character" w:customStyle="1" w:styleId="ListBulletChar">
    <w:name w:val="List Bullet Char"/>
    <w:basedOn w:val="DefaultParagraphFont"/>
    <w:link w:val="ListBullet"/>
    <w:uiPriority w:val="7"/>
    <w:rsid w:val="00CB32DF"/>
    <w:rPr>
      <w:kern w:val="22"/>
      <w:sz w:val="20"/>
    </w:rPr>
  </w:style>
  <w:style w:type="paragraph" w:styleId="BalloonText">
    <w:name w:val="Balloon Text"/>
    <w:basedOn w:val="Normal"/>
    <w:link w:val="BalloonTextChar"/>
    <w:uiPriority w:val="99"/>
    <w:semiHidden/>
    <w:unhideWhenUsed/>
    <w:rsid w:val="000F49D0"/>
    <w:rPr>
      <w:rFonts w:ascii="Tahoma" w:hAnsi="Tahoma" w:cs="Tahoma"/>
      <w:sz w:val="16"/>
      <w:szCs w:val="16"/>
    </w:rPr>
  </w:style>
  <w:style w:type="character" w:customStyle="1" w:styleId="BalloonTextChar">
    <w:name w:val="Balloon Text Char"/>
    <w:basedOn w:val="DefaultParagraphFont"/>
    <w:link w:val="BalloonText"/>
    <w:uiPriority w:val="99"/>
    <w:semiHidden/>
    <w:rsid w:val="000F49D0"/>
    <w:rPr>
      <w:rFonts w:ascii="Tahoma" w:hAnsi="Tahoma" w:cs="Tahoma"/>
      <w:kern w:val="22"/>
      <w:sz w:val="16"/>
      <w:szCs w:val="16"/>
    </w:rPr>
  </w:style>
  <w:style w:type="character" w:styleId="PlaceholderText">
    <w:name w:val="Placeholder Text"/>
    <w:basedOn w:val="DefaultParagraphFont"/>
    <w:uiPriority w:val="99"/>
    <w:semiHidden/>
    <w:rsid w:val="003810CF"/>
    <w:rPr>
      <w:color w:val="808080"/>
    </w:rPr>
  </w:style>
  <w:style w:type="table" w:styleId="TableGrid">
    <w:name w:val="Table Grid"/>
    <w:basedOn w:val="TableNormal"/>
    <w:uiPriority w:val="59"/>
    <w:rsid w:val="00220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66220"/>
    <w:pPr>
      <w:spacing w:line="276" w:lineRule="auto"/>
      <w:outlineLvl w:val="9"/>
    </w:pPr>
    <w:rPr>
      <w:color w:val="00559A" w:themeColor="accent1" w:themeShade="BF"/>
      <w:sz w:val="28"/>
      <w:szCs w:val="28"/>
      <w:lang w:eastAsia="ja-JP"/>
    </w:rPr>
  </w:style>
  <w:style w:type="character" w:styleId="Strong">
    <w:name w:val="Strong"/>
    <w:basedOn w:val="DefaultParagraphFont"/>
    <w:uiPriority w:val="22"/>
    <w:qFormat/>
    <w:rsid w:val="00B70939"/>
    <w:rPr>
      <w:b/>
      <w:bCs/>
    </w:rPr>
  </w:style>
  <w:style w:type="character" w:styleId="CommentReference">
    <w:name w:val="annotation reference"/>
    <w:basedOn w:val="DefaultParagraphFont"/>
    <w:uiPriority w:val="99"/>
    <w:semiHidden/>
    <w:unhideWhenUsed/>
    <w:rsid w:val="00411E04"/>
    <w:rPr>
      <w:sz w:val="16"/>
      <w:szCs w:val="16"/>
    </w:rPr>
  </w:style>
  <w:style w:type="paragraph" w:styleId="CommentText">
    <w:name w:val="annotation text"/>
    <w:basedOn w:val="Normal"/>
    <w:link w:val="CommentTextChar"/>
    <w:uiPriority w:val="99"/>
    <w:semiHidden/>
    <w:unhideWhenUsed/>
    <w:rsid w:val="00411E04"/>
    <w:rPr>
      <w:szCs w:val="20"/>
    </w:rPr>
  </w:style>
  <w:style w:type="character" w:customStyle="1" w:styleId="CommentTextChar">
    <w:name w:val="Comment Text Char"/>
    <w:basedOn w:val="DefaultParagraphFont"/>
    <w:link w:val="CommentText"/>
    <w:uiPriority w:val="99"/>
    <w:semiHidden/>
    <w:rsid w:val="00411E04"/>
    <w:rPr>
      <w:sz w:val="20"/>
      <w:szCs w:val="20"/>
    </w:rPr>
  </w:style>
  <w:style w:type="paragraph" w:styleId="CommentSubject">
    <w:name w:val="annotation subject"/>
    <w:basedOn w:val="CommentText"/>
    <w:next w:val="CommentText"/>
    <w:link w:val="CommentSubjectChar"/>
    <w:uiPriority w:val="99"/>
    <w:semiHidden/>
    <w:unhideWhenUsed/>
    <w:rsid w:val="00411E04"/>
    <w:rPr>
      <w:b/>
      <w:bCs/>
    </w:rPr>
  </w:style>
  <w:style w:type="character" w:customStyle="1" w:styleId="CommentSubjectChar">
    <w:name w:val="Comment Subject Char"/>
    <w:basedOn w:val="CommentTextChar"/>
    <w:link w:val="CommentSubject"/>
    <w:uiPriority w:val="99"/>
    <w:semiHidden/>
    <w:rsid w:val="00411E04"/>
    <w:rPr>
      <w:b/>
      <w:bCs/>
      <w:sz w:val="20"/>
      <w:szCs w:val="20"/>
    </w:rPr>
  </w:style>
  <w:style w:type="character" w:styleId="Hyperlink">
    <w:name w:val="Hyperlink"/>
    <w:basedOn w:val="DefaultParagraphFont"/>
    <w:uiPriority w:val="99"/>
    <w:unhideWhenUsed/>
    <w:rsid w:val="00411E04"/>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16397">
      <w:bodyDiv w:val="1"/>
      <w:marLeft w:val="0"/>
      <w:marRight w:val="0"/>
      <w:marTop w:val="0"/>
      <w:marBottom w:val="0"/>
      <w:divBdr>
        <w:top w:val="none" w:sz="0" w:space="0" w:color="auto"/>
        <w:left w:val="none" w:sz="0" w:space="0" w:color="auto"/>
        <w:bottom w:val="none" w:sz="0" w:space="0" w:color="auto"/>
        <w:right w:val="none" w:sz="0" w:space="0" w:color="auto"/>
      </w:divBdr>
    </w:div>
    <w:div w:id="1596398054">
      <w:bodyDiv w:val="1"/>
      <w:marLeft w:val="0"/>
      <w:marRight w:val="0"/>
      <w:marTop w:val="0"/>
      <w:marBottom w:val="0"/>
      <w:divBdr>
        <w:top w:val="none" w:sz="0" w:space="0" w:color="auto"/>
        <w:left w:val="none" w:sz="0" w:space="0" w:color="auto"/>
        <w:bottom w:val="none" w:sz="0" w:space="0" w:color="auto"/>
        <w:right w:val="none" w:sz="0" w:space="0" w:color="auto"/>
      </w:divBdr>
    </w:div>
    <w:div w:id="2033532047">
      <w:bodyDiv w:val="1"/>
      <w:marLeft w:val="0"/>
      <w:marRight w:val="0"/>
      <w:marTop w:val="0"/>
      <w:marBottom w:val="0"/>
      <w:divBdr>
        <w:top w:val="none" w:sz="0" w:space="0" w:color="auto"/>
        <w:left w:val="none" w:sz="0" w:space="0" w:color="auto"/>
        <w:bottom w:val="none" w:sz="0" w:space="0" w:color="auto"/>
        <w:right w:val="none" w:sz="0" w:space="0" w:color="auto"/>
      </w:divBdr>
      <w:divsChild>
        <w:div w:id="1489514668">
          <w:marLeft w:val="0"/>
          <w:marRight w:val="0"/>
          <w:marTop w:val="0"/>
          <w:marBottom w:val="225"/>
          <w:divBdr>
            <w:top w:val="none" w:sz="0" w:space="0" w:color="auto"/>
            <w:left w:val="none" w:sz="0" w:space="0" w:color="auto"/>
            <w:bottom w:val="none" w:sz="0" w:space="0" w:color="auto"/>
            <w:right w:val="none" w:sz="0" w:space="0" w:color="auto"/>
          </w:divBdr>
        </w:div>
        <w:div w:id="1024526199">
          <w:marLeft w:val="0"/>
          <w:marRight w:val="0"/>
          <w:marTop w:val="0"/>
          <w:marBottom w:val="225"/>
          <w:divBdr>
            <w:top w:val="none" w:sz="0" w:space="0" w:color="auto"/>
            <w:left w:val="none" w:sz="0" w:space="0" w:color="auto"/>
            <w:bottom w:val="none" w:sz="0" w:space="0" w:color="auto"/>
            <w:right w:val="none" w:sz="0" w:space="0" w:color="auto"/>
          </w:divBdr>
        </w:div>
        <w:div w:id="2047750408">
          <w:marLeft w:val="0"/>
          <w:marRight w:val="0"/>
          <w:marTop w:val="0"/>
          <w:marBottom w:val="225"/>
          <w:divBdr>
            <w:top w:val="none" w:sz="0" w:space="0" w:color="auto"/>
            <w:left w:val="none" w:sz="0" w:space="0" w:color="auto"/>
            <w:bottom w:val="none" w:sz="0" w:space="0" w:color="auto"/>
            <w:right w:val="none" w:sz="0" w:space="0" w:color="auto"/>
          </w:divBdr>
        </w:div>
        <w:div w:id="465438334">
          <w:marLeft w:val="0"/>
          <w:marRight w:val="0"/>
          <w:marTop w:val="0"/>
          <w:marBottom w:val="225"/>
          <w:divBdr>
            <w:top w:val="none" w:sz="0" w:space="0" w:color="auto"/>
            <w:left w:val="none" w:sz="0" w:space="0" w:color="auto"/>
            <w:bottom w:val="none" w:sz="0" w:space="0" w:color="auto"/>
            <w:right w:val="none" w:sz="0" w:space="0" w:color="auto"/>
          </w:divBdr>
        </w:div>
        <w:div w:id="135681731">
          <w:marLeft w:val="0"/>
          <w:marRight w:val="0"/>
          <w:marTop w:val="0"/>
          <w:marBottom w:val="225"/>
          <w:divBdr>
            <w:top w:val="none" w:sz="0" w:space="0" w:color="auto"/>
            <w:left w:val="none" w:sz="0" w:space="0" w:color="auto"/>
            <w:bottom w:val="none" w:sz="0" w:space="0" w:color="auto"/>
            <w:right w:val="none" w:sz="0" w:space="0" w:color="auto"/>
          </w:divBdr>
        </w:div>
        <w:div w:id="48798598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3001_NEW CS TEMPLATE">
  <a:themeElements>
    <a:clrScheme name="New Brand">
      <a:dk1>
        <a:sysClr val="windowText" lastClr="000000"/>
      </a:dk1>
      <a:lt1>
        <a:sysClr val="window" lastClr="FFFFFF"/>
      </a:lt1>
      <a:dk2>
        <a:srgbClr val="7F7F7F"/>
      </a:dk2>
      <a:lt2>
        <a:srgbClr val="E7E8E9"/>
      </a:lt2>
      <a:accent1>
        <a:srgbClr val="0072CE"/>
      </a:accent1>
      <a:accent2>
        <a:srgbClr val="78C043"/>
      </a:accent2>
      <a:accent3>
        <a:srgbClr val="865BBC"/>
      </a:accent3>
      <a:accent4>
        <a:srgbClr val="00B2AC"/>
      </a:accent4>
      <a:accent5>
        <a:srgbClr val="DA0C6F"/>
      </a:accent5>
      <a:accent6>
        <a:srgbClr val="FFFFFF"/>
      </a:accent6>
      <a:hlink>
        <a:srgbClr val="000000"/>
      </a:hlink>
      <a:folHlink>
        <a:srgbClr val="000000"/>
      </a:folHlink>
    </a:clrScheme>
    <a:fontScheme name="Custom 1">
      <a:majorFont>
        <a:latin typeface="Credit Suisse Headline"/>
        <a:ea typeface=""/>
        <a:cs typeface=""/>
      </a:majorFont>
      <a:minorFont>
        <a:latin typeface="Credit Suisse Type Light"/>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72CE"/>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algn="ctr">
          <a:defRPr sz="12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180000" indent="-180000">
          <a:buFont typeface="Wingdings" panose="05000000000000000000" pitchFamily="2" charset="2"/>
          <a:buChar char="§"/>
          <a:defRPr sz="1200" dirty="0" smtClean="0"/>
        </a:defPPr>
      </a:lstStyle>
    </a:txDef>
  </a:objectDefaults>
  <a:extraClrSchemeLst/>
  <a:custClrLst>
    <a:custClr name="Credit Suisse Blue">
      <a:srgbClr val="0072CE"/>
    </a:custClr>
    <a:custClr name="Credit Suisse Turquoise">
      <a:srgbClr val="00B2AC"/>
    </a:custClr>
    <a:custClr name="Credit Suisse Green">
      <a:srgbClr val="78C048"/>
    </a:custClr>
    <a:custClr name="Credit Suisse Purple">
      <a:srgbClr val="865BBC"/>
    </a:custClr>
    <a:custClr name="Credit Suisse Magenta">
      <a:srgbClr val="DA0C6F"/>
    </a:custClr>
    <a:custClr name="Credit Suisse Black">
      <a:srgbClr val="000000"/>
    </a:custClr>
    <a:custClr name="Credit Suisse Gray 3">
      <a:srgbClr val="DADADA"/>
    </a:custClr>
    <a:custClr name="White">
      <a:srgbClr val="FFFFFF"/>
    </a:custClr>
    <a:custClr name="White">
      <a:srgbClr val="FFFFFF"/>
    </a:custClr>
    <a:custClr name="RAG Green">
      <a:srgbClr val="008000"/>
    </a:custClr>
    <a:custClr name="Credit Suisse Dark Blue">
      <a:srgbClr val="003868"/>
    </a:custClr>
    <a:custClr name="Credit Suisse Dark Turquoise">
      <a:srgbClr val="005B66"/>
    </a:custClr>
    <a:custClr name="Credit Suisse Dark Green">
      <a:srgbClr val="00562A"/>
    </a:custClr>
    <a:custClr name="Credit Suisse Dark Purple">
      <a:srgbClr val="4C227C"/>
    </a:custClr>
    <a:custClr name="Credit Suisse Dark Magenta">
      <a:srgbClr val="7A004C"/>
    </a:custClr>
    <a:custClr name="Credit Suisse Gray 6">
      <a:srgbClr val="575756"/>
    </a:custClr>
    <a:custClr name="Credit Suisse Gray 2">
      <a:srgbClr val="E6E7E8"/>
    </a:custClr>
    <a:custClr name="White">
      <a:srgbClr val="FFFFFF"/>
    </a:custClr>
    <a:custClr name="White">
      <a:srgbClr val="FFFFFF"/>
    </a:custClr>
    <a:custClr name="RAG Red">
      <a:srgbClr val="D91E18"/>
    </a:custClr>
    <a:custClr name="Credit Suisse Mid Blue">
      <a:srgbClr val="004C97"/>
    </a:custClr>
    <a:custClr name="Credit Suisse Mid Turquoise">
      <a:srgbClr val="007D84"/>
    </a:custClr>
    <a:custClr name="Credit Suisse Mid Green">
      <a:srgbClr val="1F7C34"/>
    </a:custClr>
    <a:custClr name="Credit Suisse Mid Purple">
      <a:srgbClr val="633F9A"/>
    </a:custClr>
    <a:custClr name="Credit Suisse Mid Magenta">
      <a:srgbClr val="B4006E"/>
    </a:custClr>
    <a:custClr name="Credit Suisse Gray 5">
      <a:srgbClr val="7C7C7B"/>
    </a:custClr>
    <a:custClr name="Credit Suisse Gray 1">
      <a:srgbClr val="F1F2F2"/>
    </a:custClr>
    <a:custClr name="White">
      <a:srgbClr val="FFFFFF"/>
    </a:custClr>
    <a:custClr name="White">
      <a:srgbClr val="FFFFFF"/>
    </a:custClr>
    <a:custClr name="RAG Amber">
      <a:srgbClr val="FFB81C"/>
    </a:custClr>
    <a:custClr name="Credit Suisse Light Blue">
      <a:srgbClr val="ADC8E9"/>
    </a:custClr>
    <a:custClr name="Credit Suisse Light Turquoise">
      <a:srgbClr val="BFE5E2"/>
    </a:custClr>
    <a:custClr name="Credit Suisse Light Green">
      <a:srgbClr val="D5E9C1"/>
    </a:custClr>
    <a:custClr name="Credit Suisse Light Purple">
      <a:srgbClr val="D1C4E0"/>
    </a:custClr>
    <a:custClr name="Credit Suisse Light Magenta">
      <a:srgbClr val="F9C0CC"/>
    </a:custClr>
    <a:custClr name="Credit Suisse Gray 4">
      <a:srgbClr val="A8A8A7"/>
    </a:custClr>
    <a:custClr name="Credit Suisse White">
      <a:srgbClr val="FFFFFF"/>
    </a:custClr>
    <a:custClr name="White">
      <a:srgbClr val="FFFFFF"/>
    </a:custClr>
    <a:custClr name="White">
      <a:srgbClr val="FFFFFF"/>
    </a:custClr>
    <a:custClr name="Whit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32940C6D63F644875D7E3A71A65777" ma:contentTypeVersion="3" ma:contentTypeDescription="Create a new document." ma:contentTypeScope="" ma:versionID="53f58ef6306b6e42febee57805344d6e">
  <xsd:schema xmlns:xsd="http://www.w3.org/2001/XMLSchema" xmlns:xs="http://www.w3.org/2001/XMLSchema" xmlns:p="http://schemas.microsoft.com/office/2006/metadata/properties" targetNamespace="http://schemas.microsoft.com/office/2006/metadata/properties" ma:root="true" ma:fieldsID="8252db2fa3f32b543b0ef5758677579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037E6-E22E-453B-ABC7-6C299E50B2B1}">
  <ds:schemaRefs>
    <ds:schemaRef ds:uri="http://schemas.microsoft.com/sharepoint/v3/contenttype/forms"/>
  </ds:schemaRefs>
</ds:datastoreItem>
</file>

<file path=customXml/itemProps2.xml><?xml version="1.0" encoding="utf-8"?>
<ds:datastoreItem xmlns:ds="http://schemas.openxmlformats.org/officeDocument/2006/customXml" ds:itemID="{9A0ACE03-F137-4AA2-9F2B-984143ED4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D0B938-E3D2-47C6-8CF1-D33BCA14CF87}">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27E3DB9-1F2F-497C-B0B7-B38F0FF2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1739</Words>
  <Characters>1753</Characters>
  <Application>Microsoft Office Word</Application>
  <DocSecurity>0</DocSecurity>
  <Lines>59</Lines>
  <Paragraphs>23</Paragraphs>
  <ScaleCrop>false</ScaleCrop>
  <HeadingPairs>
    <vt:vector size="2" baseType="variant">
      <vt:variant>
        <vt:lpstr>Title</vt:lpstr>
      </vt:variant>
      <vt:variant>
        <vt:i4>1</vt:i4>
      </vt:variant>
    </vt:vector>
  </HeadingPairs>
  <TitlesOfParts>
    <vt:vector size="1" baseType="lpstr">
      <vt:lpstr/>
    </vt:vector>
  </TitlesOfParts>
  <Company>Credit Suisse</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Dandan (MOPN 531) CWR</dc:creator>
  <cp:keywords/>
  <dc:description/>
  <cp:lastModifiedBy>Li, Dandan (MOPN 531) CWR</cp:lastModifiedBy>
  <cp:revision>5</cp:revision>
  <dcterms:created xsi:type="dcterms:W3CDTF">2021-03-23T00:43:00Z</dcterms:created>
  <dcterms:modified xsi:type="dcterms:W3CDTF">2021-03-23T01:15:00Z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v=1.2&gt;I=304a34c9-5b17-4e2a-bdc3-dec6a43f35e7&amp;N=Unrestricted&amp;V=1.3&amp;U=S-1-5-21-1828601920-3511188894-431489442-1674043&amp;D=Li%2c+Dandan+(MOPN+531)+CWR&amp;A=Associated&amp;H=False</vt:lpwstr>
  </property>
  <property fmtid="{D5CDD505-2E9C-101B-9397-08002B2CF9AE}" pid="3" name="Classification">
    <vt:lpwstr>Unrestricted</vt:lpwstr>
  </property>
</Properties>
</file>